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
      </w:pPr>
      <w:r>
        <w:rPr>
          <w:rFonts w:ascii="Calibri" w:cs="Calibri" w:eastAsia="Calibri" w:hAnsi="Calibri"/>
          <w:b/>
          <w:bCs/>
          <w:i w:val="false"/>
          <w:iCs w:val="false"/>
          <w:color w:val="4A6B82"/>
          <w:spacing w:val="40"/>
          <w:sz w:val="16"/>
          <w:szCs w:val="16"/>
        </w:rPr>
        <w:t xml:space="preserve">PRONECT   ·   SAM ONSITE</w:t>
      </w:r>
    </w:p>
    <w:p>
      <w:pPr>
        <w:spacing w:after="20"/>
      </w:pPr>
      <w:r>
        <w:rPr>
          <w:rFonts w:ascii="Georgia" w:cs="Georgia" w:eastAsia="Georgia" w:hAnsi="Georgia"/>
          <w:b/>
          <w:bCs/>
          <w:color w:val="3A3A38"/>
          <w:sz w:val="46"/>
          <w:szCs w:val="46"/>
        </w:rPr>
        <w:t xml:space="preserve">Guard Onboarding</w:t>
      </w:r>
    </w:p>
    <w:p>
      <w:pPr>
        <w:pBdr>
          <w:bottom w:val="single" w:color="4A6B82" w:sz="4" w:space="10"/>
        </w:pBdr>
        <w:spacing w:after="140"/>
      </w:pPr>
      <w:r>
        <w:rPr>
          <w:rFonts w:ascii="Georgia" w:cs="Georgia" w:eastAsia="Georgia" w:hAnsi="Georgia"/>
          <w:i/>
          <w:iCs/>
          <w:color w:val="77746E"/>
          <w:sz w:val="21"/>
          <w:szCs w:val="21"/>
        </w:rPr>
        <w:t xml:space="preserve">Mandatory first-login voice training — MVP specification</w:t>
      </w:r>
    </w:p>
    <w:tbl>
      <w:tblPr>
        <w:tblW w:type="dxa" w:w="9648"/>
        <w:tblBorders>
          <w:top w:val="none"/>
          <w:left w:val="none"/>
          <w:bottom w:val="none"/>
          <w:right w:val="none"/>
          <w:insideH w:val="none"/>
          <w:insideV w:val="none"/>
        </w:tblBorders>
      </w:tblPr>
      <w:tblGrid>
        <w:gridCol w:w="9648"/>
      </w:tblGrid>
      <w:tr>
        <w:tc>
          <w:tcPr>
            <w:tcW w:type="dxa" w:w="9648"/>
            <w:tcBorders>
              <w:top w:val="none"/>
              <w:left w:val="none"/>
              <w:bottom w:val="none"/>
              <w:right w:val="none"/>
            </w:tcBorders>
            <w:shd w:fill="F7F6F2" w:color="auto" w:val="clear"/>
            <w:tcMar>
              <w:top w:type="dxa" w:w="100"/>
              <w:left w:type="dxa" w:w="180"/>
              <w:bottom w:type="dxa" w:w="100"/>
              <w:right w:type="dxa" w:w="180"/>
            </w:tcMar>
          </w:tcPr>
          <w:p>
            <w:pPr>
              <w:spacing w:after="0"/>
            </w:pPr>
            <w:r>
              <w:rPr>
                <w:rFonts w:ascii="Calibri" w:cs="Calibri" w:eastAsia="Calibri" w:hAnsi="Calibri"/>
                <w:b/>
                <w:bCs/>
                <w:i w:val="false"/>
                <w:iCs w:val="false"/>
                <w:color w:val="4A6B82"/>
                <w:spacing w:val="4"/>
                <w:sz w:val="16"/>
                <w:szCs w:val="16"/>
              </w:rPr>
              <w:t xml:space="preserve">Product  </w:t>
            </w:r>
            <w:r>
              <w:rPr>
                <w:rFonts w:ascii="Calibri" w:cs="Calibri" w:eastAsia="Calibri" w:hAnsi="Calibri"/>
                <w:b w:val="false"/>
                <w:bCs w:val="false"/>
                <w:i w:val="false"/>
                <w:iCs w:val="false"/>
                <w:color w:val="3A3A38"/>
                <w:sz w:val="18"/>
                <w:szCs w:val="18"/>
              </w:rPr>
              <w:t xml:space="preserve">SAM OnSite       </w:t>
            </w:r>
            <w:r>
              <w:rPr>
                <w:rFonts w:ascii="Calibri" w:cs="Calibri" w:eastAsia="Calibri" w:hAnsi="Calibri"/>
                <w:b/>
                <w:bCs/>
                <w:i w:val="false"/>
                <w:iCs w:val="false"/>
                <w:color w:val="4A6B82"/>
                <w:spacing w:val="4"/>
                <w:sz w:val="16"/>
                <w:szCs w:val="16"/>
              </w:rPr>
              <w:t xml:space="preserve">Applies to  </w:t>
            </w:r>
            <w:r>
              <w:rPr>
                <w:rFonts w:ascii="Calibri" w:cs="Calibri" w:eastAsia="Calibri" w:hAnsi="Calibri"/>
                <w:b w:val="false"/>
                <w:bCs w:val="false"/>
                <w:i w:val="false"/>
                <w:iCs w:val="false"/>
                <w:color w:val="3A3A38"/>
                <w:sz w:val="18"/>
                <w:szCs w:val="18"/>
              </w:rPr>
              <w:t xml:space="preserve">Every guard, once       </w:t>
            </w:r>
            <w:r>
              <w:rPr>
                <w:rFonts w:ascii="Calibri" w:cs="Calibri" w:eastAsia="Calibri" w:hAnsi="Calibri"/>
                <w:b/>
                <w:bCs/>
                <w:i w:val="false"/>
                <w:iCs w:val="false"/>
                <w:color w:val="4A6B82"/>
                <w:spacing w:val="4"/>
                <w:sz w:val="16"/>
                <w:szCs w:val="16"/>
              </w:rPr>
              <w:t xml:space="preserve">Language  </w:t>
            </w:r>
            <w:r>
              <w:rPr>
                <w:rFonts w:ascii="Calibri" w:cs="Calibri" w:eastAsia="Calibri" w:hAnsi="Calibri"/>
                <w:b w:val="false"/>
                <w:bCs w:val="false"/>
                <w:i w:val="false"/>
                <w:iCs w:val="false"/>
                <w:color w:val="3A3A38"/>
                <w:sz w:val="18"/>
                <w:szCs w:val="18"/>
              </w:rPr>
              <w:t xml:space="preserve">English       </w:t>
            </w:r>
            <w:r>
              <w:rPr>
                <w:rFonts w:ascii="Calibri" w:cs="Calibri" w:eastAsia="Calibri" w:hAnsi="Calibri"/>
                <w:b/>
                <w:bCs/>
                <w:i w:val="false"/>
                <w:iCs w:val="false"/>
                <w:color w:val="4A6B82"/>
                <w:spacing w:val="4"/>
                <w:sz w:val="16"/>
                <w:szCs w:val="16"/>
              </w:rPr>
              <w:t xml:space="preserve">Status  </w:t>
            </w:r>
            <w:r>
              <w:rPr>
                <w:rFonts w:ascii="Calibri" w:cs="Calibri" w:eastAsia="Calibri" w:hAnsi="Calibri"/>
                <w:b w:val="false"/>
                <w:bCs w:val="false"/>
                <w:i w:val="false"/>
                <w:iCs w:val="false"/>
                <w:color w:val="3A3A38"/>
                <w:sz w:val="18"/>
                <w:szCs w:val="18"/>
              </w:rPr>
              <w:t xml:space="preserve">Draft for build       </w:t>
            </w:r>
            <w:r>
              <w:rPr>
                <w:rFonts w:ascii="Calibri" w:cs="Calibri" w:eastAsia="Calibri" w:hAnsi="Calibri"/>
                <w:b/>
                <w:bCs/>
                <w:i w:val="false"/>
                <w:iCs w:val="false"/>
                <w:color w:val="4A6B82"/>
                <w:spacing w:val="4"/>
                <w:sz w:val="16"/>
                <w:szCs w:val="16"/>
              </w:rPr>
              <w:t xml:space="preserve">Sign-off  </w:t>
            </w:r>
            <w:r>
              <w:rPr>
                <w:rFonts w:ascii="Calibri" w:cs="Calibri" w:eastAsia="Calibri" w:hAnsi="Calibri"/>
                <w:b w:val="false"/>
                <w:bCs w:val="false"/>
                <w:i w:val="false"/>
                <w:iCs w:val="false"/>
                <w:color w:val="3A3A38"/>
                <w:sz w:val="18"/>
                <w:szCs w:val="18"/>
              </w:rPr>
              <w:t xml:space="preserve">Vincent Smeyers</w:t>
            </w:r>
          </w:p>
        </w:tc>
      </w:tr>
    </w:tbl>
    <w:p>
      <w:pPr>
        <w:spacing w:after="70"/>
      </w:pPr>
    </w:p>
    <w:tbl>
      <w:tblPr>
        <w:tblW w:type="dxa" w:w="9648"/>
        <w:tblBorders>
          <w:top w:val="none"/>
          <w:left w:val="single" w:color="4A6B82" w:sz="12"/>
          <w:bottom w:val="none"/>
          <w:right w:val="none"/>
          <w:insideH w:val="none"/>
          <w:insideV w:val="none"/>
        </w:tblBorders>
      </w:tblPr>
      <w:tblGrid>
        <w:gridCol w:w="9648"/>
      </w:tblGrid>
      <w:tr>
        <w:trPr>
          <w:cantSplit/>
        </w:trPr>
        <w:tc>
          <w:tcPr>
            <w:tcW w:type="dxa" w:w="9648"/>
            <w:shd w:fill="F7F6F2" w:color="auto" w:val="clear"/>
            <w:tcMar>
              <w:top w:type="dxa" w:w="96"/>
              <w:left w:type="dxa" w:w="170"/>
              <w:bottom w:type="dxa" w:w="96"/>
              <w:right w:type="dxa" w:w="170"/>
            </w:tcMar>
          </w:tcPr>
          <w:p>
            <w:pPr>
              <w:spacing w:after="0" w:line="258" w:lineRule="auto"/>
            </w:pPr>
            <w:r>
              <w:rPr>
                <w:rFonts w:ascii="Calibri" w:cs="Calibri" w:eastAsia="Calibri" w:hAnsi="Calibri"/>
                <w:b/>
                <w:bCs/>
                <w:i w:val="false"/>
                <w:iCs w:val="false"/>
                <w:color w:val="2E3A44"/>
                <w:sz w:val="19"/>
                <w:szCs w:val="19"/>
              </w:rPr>
              <w:t xml:space="preserve">In one minute.  </w:t>
            </w:r>
            <w:r>
              <w:rPr>
                <w:rFonts w:ascii="Calibri" w:cs="Calibri" w:eastAsia="Calibri" w:hAnsi="Calibri"/>
                <w:b w:val="false"/>
                <w:bCs w:val="false"/>
                <w:i w:val="false"/>
                <w:iCs w:val="false"/>
                <w:color w:val="3A3A38"/>
                <w:sz w:val="19"/>
                <w:szCs w:val="19"/>
              </w:rPr>
              <w:t xml:space="preserve">The first time a guard signs in, SAM introduces itself and shows what it can do. It should feel like unwrapping a good tool, not sitting a test: SAM welcomes them, then walks through the three everyday actions — ask a question, report an incident, fix a report — on a made-up incident so nothing real is affected. It takes a few minutes, saves progress, cannot be skipped, and counts as done only once each step is genuinely done. Practice data must stay out of every live report and dashboard — and because the filter that enforces this is not built yet, it runs in the internal test environments until that is ready. A guard can reopen it later as a refresher.</w:t>
            </w:r>
          </w:p>
        </w:tc>
      </w:tr>
    </w:tbl>
    <w:p>
      <w:pPr>
        <w:spacing w:after="40"/>
      </w:pPr>
    </w:p>
    <w:p>
      <w:pPr>
        <w:pStyle w:val="Heading1"/>
        <w:keepNext/>
        <w:pBdr>
          <w:bottom w:val="single" w:color="E6E4DF" w:sz="4" w:space="6"/>
        </w:pBdr>
        <w:spacing w:after="70" w:before="190"/>
      </w:pPr>
      <w:r>
        <w:rPr>
          <w:rFonts w:ascii="Calibri" w:cs="Calibri" w:eastAsia="Calibri" w:hAnsi="Calibri"/>
          <w:b/>
          <w:bCs/>
          <w:color w:val="4A6B82"/>
          <w:spacing w:val="10"/>
          <w:sz w:val="19"/>
          <w:szCs w:val="19"/>
        </w:rPr>
        <w:t xml:space="preserve">01   </w:t>
      </w:r>
      <w:r>
        <w:rPr>
          <w:rFonts w:ascii="Georgia" w:cs="Georgia" w:eastAsia="Georgia" w:hAnsi="Georgia"/>
          <w:color w:val="3A3A38"/>
          <w:sz w:val="25"/>
          <w:szCs w:val="25"/>
        </w:rPr>
        <w:t xml:space="preserve">How it works, step by step</w:t>
      </w:r>
    </w:p>
    <w:p>
      <w:pPr>
        <w:spacing w:after="60" w:line="252" w:lineRule="auto"/>
      </w:pPr>
      <w:r>
        <w:rPr>
          <w:rFonts w:ascii="Calibri" w:cs="Calibri" w:eastAsia="Calibri" w:hAnsi="Calibri"/>
          <w:b w:val="false"/>
          <w:bCs w:val="false"/>
          <w:i w:val="false"/>
          <w:iCs w:val="false"/>
          <w:color w:val="3A3A38"/>
          <w:sz w:val="19"/>
          <w:szCs w:val="19"/>
        </w:rPr>
        <w:t xml:space="preserve">In SAM, a guard’s message is what creates and updates their report — so a report can be fixed by telling SAM out loud or by editing the original message. Both are practised below; quoted lines show the intended tone, not final copy.</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The guard signs in for the first time and SAM opens by itself, before the home screen — for new and existing guards alike.</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SAM introduces itself: “Hello — I’m SAM, your new assistant. From today I do your paperwork, so you can keep your eyes on the site. A few minutes and you’ll know everything you need.”</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SAM gets itself set up: “Tap here, turn on all the permissions for SAM OnSite, then come back and tell me you’re done.” The link opens SAM OnSite’s permissions in the phone’s settings; the guard turns them on, returns, and says or types “done.” SAM checks for itself — naming anything still off and linking back, or confirming and moving on.</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SAM does the same for NFC: “One more — tap here to switch on NFC, that’s what reads the checkpoint tags. Tell me when it’s done.” The guard enables it, returns, says or types “done”, and SAM confirms NFC is on.</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SAM invites a question: “Ask me anything you’d ask a colleague — try, how do I report an incident?” SAM answers, then: “Any time you’re unsure, just ask.” No report is created here.</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SAM moves to the useful part: “Now tell me about an incident the way you’d tell a colleague — let’s pretend a Dell laptop was stolen.” SAM asks for anything missing, writes one practice report, then: “Done. I wrote that up while you talked.”</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SAM shows corrections are easy: “Got a detail wrong? Just say so — tell me to change the Dell to a MacBook.” The same report and the guard’s own message update; no second report appears.</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SAM offers the other way: “Prefer to type? Press and hold your message and edit it yourself.” The guard edits it to “A MacBook was stolen at reception,” and the finished report shows both “MacBook” and “reception.”</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SAM closes warmly: “That’s the lot — you know everything you need. I’ll be here whenever you want me, just talk.” Completion is recorded only after SAM has seen each step done for real, and the guard arrives at the home screen.</w:t>
      </w:r>
    </w:p>
    <w:p>
      <w:pPr>
        <w:spacing w:after="40" w:before="20"/>
      </w:pPr>
      <w:r>
        <w:rPr>
          <w:rFonts w:ascii="Calibri" w:cs="Calibri" w:eastAsia="Calibri" w:hAnsi="Calibri"/>
          <w:b w:val="false"/>
          <w:bCs w:val="false"/>
          <w:i w:val="false"/>
          <w:iCs w:val="false"/>
          <w:color w:val="77746E"/>
          <w:sz w:val="18"/>
          <w:szCs w:val="18"/>
        </w:rPr>
        <w:t xml:space="preserve">Throughout, the practice report carries a training mark from the instant it is created; that mark is what must keep it out of every live report, dashboard, analytics view, export, alert, integration, and the guard’s own activity list.</w:t>
      </w:r>
    </w:p>
    <w:p>
      <w:pPr>
        <w:pStyle w:val="Heading1"/>
        <w:keepNext/>
        <w:pBdr>
          <w:bottom w:val="single" w:color="E6E4DF" w:sz="4" w:space="6"/>
        </w:pBdr>
        <w:spacing w:after="70" w:before="190"/>
      </w:pPr>
      <w:r>
        <w:rPr>
          <w:rFonts w:ascii="Calibri" w:cs="Calibri" w:eastAsia="Calibri" w:hAnsi="Calibri"/>
          <w:b/>
          <w:bCs/>
          <w:color w:val="4A6B82"/>
          <w:spacing w:val="10"/>
          <w:sz w:val="19"/>
          <w:szCs w:val="19"/>
        </w:rPr>
        <w:t xml:space="preserve">02   </w:t>
      </w:r>
      <w:r>
        <w:rPr>
          <w:rFonts w:ascii="Georgia" w:cs="Georgia" w:eastAsia="Georgia" w:hAnsi="Georgia"/>
          <w:color w:val="3A3A38"/>
          <w:sz w:val="25"/>
          <w:szCs w:val="25"/>
        </w:rPr>
        <w:t xml:space="preserve">What must be true — and how we confirm it</w:t>
      </w:r>
    </w:p>
    <w:p>
      <w:pPr>
        <w:spacing w:after="70" w:line="252" w:lineRule="auto"/>
      </w:pPr>
      <w:r>
        <w:rPr>
          <w:rFonts w:ascii="Calibri" w:cs="Calibri" w:eastAsia="Calibri" w:hAnsi="Calibri"/>
          <w:b w:val="false"/>
          <w:bCs w:val="false"/>
          <w:i w:val="false"/>
          <w:iCs w:val="false"/>
          <w:color w:val="3A3A38"/>
          <w:sz w:val="18"/>
          <w:szCs w:val="18"/>
        </w:rPr>
        <w:t xml:space="preserve">Each row is a requirement together with how we will confirm it works, so nothing is left to interpretation. </w:t>
      </w: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77746E"/>
          <w:sz w:val="16"/>
          <w:szCs w:val="16"/>
        </w:rPr>
        <w:t xml:space="preserve">  an agreed behaviour (a few note an implementation detail to check).   </w:t>
      </w: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77746E"/>
          <w:sz w:val="16"/>
          <w:szCs w:val="16"/>
        </w:rPr>
        <w:t xml:space="preserve">  our recommended default.   </w:t>
      </w:r>
      <w:r>
        <w:rPr>
          <w:rFonts w:ascii="Calibri" w:cs="Calibri" w:eastAsia="Calibri" w:hAnsi="Calibri"/>
          <w:b/>
          <w:bCs/>
          <w:color w:val="A05A38"/>
          <w:spacing w:val="6"/>
          <w:sz w:val="14"/>
          <w:szCs w:val="14"/>
        </w:rPr>
        <w:t xml:space="preserve">CHECK W/ ENG.</w:t>
      </w:r>
      <w:r>
        <w:rPr>
          <w:rFonts w:ascii="Calibri" w:cs="Calibri" w:eastAsia="Calibri" w:hAnsi="Calibri"/>
          <w:b w:val="false"/>
          <w:bCs w:val="false"/>
          <w:i w:val="false"/>
          <w:iCs w:val="false"/>
          <w:color w:val="77746E"/>
          <w:sz w:val="16"/>
          <w:szCs w:val="16"/>
        </w:rPr>
        <w:t xml:space="preserve">  needs an engineering confirmation (listed in section 05).</w:t>
      </w:r>
    </w:p>
    <w:tbl>
      <w:tblPr>
        <w:tblW w:type="dxa" w:w="9648"/>
        <w:tblBorders>
          <w:top w:val="none"/>
          <w:left w:val="none"/>
          <w:bottom w:val="none"/>
          <w:right w:val="none"/>
          <w:insideH w:val="single" w:color="E6E4DF" w:sz="2"/>
          <w:insideV w:val="none"/>
        </w:tblBorders>
      </w:tblPr>
      <w:tblGrid>
        <w:gridCol w:w="2340"/>
        <w:gridCol w:w="7308"/>
      </w:tblGrid>
      <w:tr>
        <w:trPr>
          <w:cantSplit/>
          <w:tblHeader/>
        </w:trPr>
        <w:tc>
          <w:tcPr>
            <w:tcW w:type="dxa" w:w="2340"/>
            <w:tcBorders>
              <w:top w:val="none"/>
              <w:left w:val="none"/>
              <w:bottom w:val="single" w:color="4A6B82" w:sz="8"/>
              <w:right w:val="none"/>
            </w:tcBorders>
            <w:tcMar>
              <w:top w:type="dxa" w:w="26"/>
              <w:left w:type="dxa" w:w="40"/>
              <w:bottom w:type="dxa" w:w="44"/>
              <w:right w:type="dxa" w:w="150"/>
            </w:tcMar>
            <w:vAlign w:val="bottom"/>
          </w:tcPr>
          <w:p>
            <w:pPr>
              <w:spacing w:after="0"/>
            </w:pPr>
            <w:r>
              <w:rPr>
                <w:rFonts w:ascii="Calibri" w:cs="Calibri" w:eastAsia="Calibri" w:hAnsi="Calibri"/>
                <w:b/>
                <w:bCs/>
                <w:color w:val="4A6B82"/>
                <w:spacing w:val="8"/>
                <w:sz w:val="15"/>
                <w:szCs w:val="15"/>
              </w:rPr>
              <w:t xml:space="preserve">REQUIREMENT</w:t>
            </w:r>
          </w:p>
        </w:tc>
        <w:tc>
          <w:tcPr>
            <w:tcW w:type="dxa" w:w="7308"/>
            <w:tcBorders>
              <w:top w:val="none"/>
              <w:left w:val="none"/>
              <w:bottom w:val="single" w:color="4A6B82" w:sz="8"/>
              <w:right w:val="none"/>
            </w:tcBorders>
            <w:tcMar>
              <w:top w:type="dxa" w:w="26"/>
              <w:left w:type="dxa" w:w="40"/>
              <w:bottom w:type="dxa" w:w="44"/>
              <w:right w:type="dxa" w:w="150"/>
            </w:tcMar>
            <w:vAlign w:val="bottom"/>
          </w:tcPr>
          <w:p>
            <w:pPr>
              <w:spacing w:after="0"/>
            </w:pPr>
            <w:r>
              <w:rPr>
                <w:rFonts w:ascii="Calibri" w:cs="Calibri" w:eastAsia="Calibri" w:hAnsi="Calibri"/>
                <w:b/>
                <w:bCs/>
                <w:color w:val="4A6B82"/>
                <w:spacing w:val="8"/>
                <w:sz w:val="15"/>
                <w:szCs w:val="15"/>
              </w:rPr>
              <w:t xml:space="preserve">WHAT IT MEANS AND HOW WE CONFIRM IT</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Feels like a welcome, not a test</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SAM opens with a warm greeting saying what it does for the guard and why that helps, frames each step as a benefit (“I wrote that up while you talked”), encourages briefly after each, and signs off warmly. Short, friendly, first-person — never a dry list of instructions. Confirmed by a product read-through and by four of five test guards calling it welcoming, not a test.</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Automatic start &amp; refresher</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It opens by itself the first time a guard signs in, before they can reach the home screen. A guard who has finished can reopen it any time as a refresher without losing their completed status.</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Everyone, exactly once</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Every active guard receives it one time — including guards who already had accounts before this feature. After finishing, their next sign-in goes straight to the home screen.</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Cannot be skipped</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There is no way to reach the home screen except by completing it.</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Permissions and NFC — checked, not assumed</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A link takes the guard straight to SAM OnSite’s permissions in the phone’s settings; they turn everything on, return, and say or type “done.” SAM verifies each one and names anything still off rather than taking their word — then repeats this for NFC, which reads the checkpoint tags. The confirmation must accept typing or tapping, since until the microphone is on the guard cannot speak. Anything that genuinely cannot be enabled routes to support, so they are never trapped.</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Ask a question (practice only)</w:t>
            </w:r>
          </w:p>
          <w:p>
            <w:pPr>
              <w:spacing w:after="0"/>
            </w:pPr>
            <w:r>
              <w:rPr>
                <w:rFonts w:ascii="Calibri" w:cs="Calibri" w:eastAsia="Calibri" w:hAnsi="Calibri"/>
                <w:b/>
                <w:bCs/>
                <w:color w:val="8A6A1F"/>
                <w:spacing w:val="6"/>
                <w:sz w:val="14"/>
                <w:szCs w:val="14"/>
              </w:rPr>
              <w:t xml:space="preserve">PROPOSED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The guard asks a spoken question and SAM answers. Confirmed when SAM answers and no report is created by this step.</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Report one practice incident</w:t>
            </w:r>
          </w:p>
          <w:p>
            <w:pPr>
              <w:spacing w:after="0"/>
            </w:pPr>
            <w:r>
              <w:rPr>
                <w:rFonts w:ascii="Calibri" w:cs="Calibri" w:eastAsia="Calibri" w:hAnsi="Calibri"/>
                <w:b/>
                <w:bCs/>
                <w:color w:val="8A6A1F"/>
                <w:spacing w:val="6"/>
                <w:sz w:val="14"/>
                <w:szCs w:val="14"/>
              </w:rPr>
              <w:t xml:space="preserve">PROPOSED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The guard reports the made-up incident and SAM creates exactly one practice report. Repeats or retries must never create extra reports.</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Fix a report by voice</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The guard tells SAM to change “Dell” to “MacBook”; the same report updates and no duplicate appears. (The exact way the app updates the report is a Check-with-engineering item.)</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Fix a report by hand</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The guard long-presses their own message, edits it, and saves; the finished report contains both “MacBook” and “reception.” (Whether the app already supports this edit is a Check-with-engineering item.)</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Marked as training at creation</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Every practice report is flagged as training (archive / soft-delete) the moment it is created — the platform already has this flag for exactly this purpose — so a report never exists un-marked.</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Kept out of every live surface</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The practice report must appear in no live surface — reports, dashboards, analytics, exports, automated alerts and integrations, and the guard’s own activity list and search. The filter that excludes training-marked data does not exist yet, so archived data is still visible in production; it must be built and verified before go-live. Until then this runs only in the internal test environments.</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Finishing is earned &amp; remembered</w:t>
            </w:r>
          </w:p>
          <w:p>
            <w:pPr>
              <w:spacing w:after="0"/>
            </w:pPr>
            <w:r>
              <w:rPr>
                <w:rFonts w:ascii="Calibri" w:cs="Calibri" w:eastAsia="Calibri" w:hAnsi="Calibri"/>
                <w:b/>
                <w:bCs/>
                <w:color w:val="8A6A1F"/>
                <w:spacing w:val="6"/>
                <w:sz w:val="14"/>
                <w:szCs w:val="14"/>
              </w:rPr>
              <w:t xml:space="preserve">PROPOSED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Completion is recorded only after SAM sees each step done for real — never a quiz or an “I’m done” button. Stored on the server as version 1, issued once per guard, survives closing the app or switching devices, and cannot be duplicated.</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Visual aids come later</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Extra visual help (tooltips, highlights) for dark or noisy sites is not built now; the need is judged during testing.</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A way out for a real incident (minor)</w:t>
            </w:r>
          </w:p>
          <w:p>
            <w:pPr>
              <w:spacing w:after="0"/>
            </w:pPr>
            <w:r>
              <w:rPr>
                <w:rFonts w:ascii="Calibri" w:cs="Calibri" w:eastAsia="Calibri" w:hAnsi="Calibri"/>
                <w:b/>
                <w:bCs/>
                <w:color w:val="8A6A1F"/>
                <w:spacing w:val="6"/>
                <w:sz w:val="14"/>
                <w:szCs w:val="14"/>
              </w:rPr>
              <w:t xml:space="preserve">PROPOSED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Deliberately small: leave onboarding, report a real incident, and return to where they left off, without it counting as finishing or skipping. In practice guards handle real emergencies as they always have, and new guards are accompanied early on — a low-priority safeguard, not a focus.</w:t>
            </w:r>
          </w:p>
        </w:tc>
      </w:tr>
    </w:tbl>
    <w:p>
      <w:pPr>
        <w:pStyle w:val="Heading1"/>
        <w:keepNext/>
        <w:pBdr>
          <w:bottom w:val="single" w:color="E6E4DF" w:sz="4" w:space="6"/>
        </w:pBdr>
        <w:spacing w:after="70" w:before="190"/>
      </w:pPr>
      <w:r>
        <w:rPr>
          <w:rFonts w:ascii="Calibri" w:cs="Calibri" w:eastAsia="Calibri" w:hAnsi="Calibri"/>
          <w:b/>
          <w:bCs/>
          <w:color w:val="4A6B82"/>
          <w:spacing w:val="10"/>
          <w:sz w:val="19"/>
          <w:szCs w:val="19"/>
        </w:rPr>
        <w:t xml:space="preserve">03   </w:t>
      </w:r>
      <w:r>
        <w:rPr>
          <w:rFonts w:ascii="Georgia" w:cs="Georgia" w:eastAsia="Georgia" w:hAnsi="Georgia"/>
          <w:color w:val="3A3A38"/>
          <w:sz w:val="25"/>
          <w:szCs w:val="25"/>
        </w:rPr>
        <w:t xml:space="preserve">The two things that must not go wrong</w:t>
      </w:r>
    </w:p>
    <w:p>
      <w:pPr>
        <w:pStyle w:val="Heading2"/>
        <w:keepNext/>
        <w:spacing w:after="60" w:before="160"/>
      </w:pPr>
      <w:r>
        <w:rPr>
          <w:rFonts w:ascii="Georgia" w:cs="Georgia" w:eastAsia="Georgia" w:hAnsi="Georgia"/>
          <w:b/>
          <w:bCs/>
          <w:color w:val="2E3A44"/>
          <w:sz w:val="20"/>
          <w:szCs w:val="20"/>
        </w:rPr>
        <w:t xml:space="preserve">PRACTICE DATA MUST NEVER REACH LIVE OPERATIONS</w:t>
      </w:r>
    </w:p>
    <w:p>
      <w:pPr>
        <w:spacing w:after="92" w:line="252" w:lineRule="auto"/>
      </w:pPr>
      <w:r>
        <w:rPr>
          <w:rFonts w:ascii="Calibri" w:cs="Calibri" w:eastAsia="Calibri" w:hAnsi="Calibri"/>
          <w:b w:val="false"/>
          <w:bCs w:val="false"/>
          <w:i w:val="false"/>
          <w:iCs w:val="false"/>
          <w:color w:val="3A3A38"/>
          <w:sz w:val="19"/>
          <w:szCs w:val="19"/>
        </w:rPr>
        <w:t xml:space="preserve">The made-up incident must never trigger a real response. Every practice report is marked as training the moment it is created — the platform already has this archive / soft-delete flag. </w:t>
      </w:r>
      <w:r>
        <w:rPr>
          <w:rFonts w:ascii="Calibri" w:cs="Calibri" w:eastAsia="Calibri" w:hAnsi="Calibri"/>
          <w:b/>
          <w:bCs/>
          <w:i w:val="false"/>
          <w:iCs w:val="false"/>
          <w:color w:val="3A3A38"/>
          <w:sz w:val="19"/>
          <w:szCs w:val="19"/>
        </w:rPr>
        <w:t xml:space="preserve">The dependency to be clear about:</w:t>
      </w:r>
      <w:r>
        <w:rPr>
          <w:rFonts w:ascii="Calibri" w:cs="Calibri" w:eastAsia="Calibri" w:hAnsi="Calibri"/>
          <w:b w:val="false"/>
          <w:bCs w:val="false"/>
          <w:i w:val="false"/>
          <w:iCs w:val="false"/>
          <w:color w:val="3A3A38"/>
          <w:sz w:val="19"/>
          <w:szCs w:val="19"/>
        </w:rPr>
        <w:t xml:space="preserve"> the filtering that keeps marked data out of live surfaces does not exist yet — today, archived items are still visible in production — so it is a required enhancement, not something that works today. This runs only in the internal test environments until that filter is built and verified, and must not go live before then. When built, it should work </w:t>
      </w:r>
      <w:r>
        <w:rPr>
          <w:rFonts w:ascii="Calibri" w:cs="Calibri" w:eastAsia="Calibri" w:hAnsi="Calibri"/>
          <w:b/>
          <w:bCs/>
          <w:i w:val="false"/>
          <w:iCs w:val="false"/>
          <w:color w:val="3A3A38"/>
          <w:sz w:val="19"/>
          <w:szCs w:val="19"/>
        </w:rPr>
        <w:t xml:space="preserve">hide-by-default</w:t>
      </w:r>
      <w:r>
        <w:rPr>
          <w:rFonts w:ascii="Calibri" w:cs="Calibri" w:eastAsia="Calibri" w:hAnsi="Calibri"/>
          <w:b w:val="false"/>
          <w:bCs w:val="false"/>
          <w:i w:val="false"/>
          <w:iCs w:val="false"/>
          <w:color w:val="3A3A38"/>
          <w:sz w:val="19"/>
          <w:szCs w:val="19"/>
        </w:rPr>
        <w:t xml:space="preserve"> at the shared data layer, so every current and future surface excludes training data automatically. Permanent deletion is a separate clean-up done later; only the guard’s completion status is kept.</w:t>
      </w:r>
    </w:p>
    <w:p>
      <w:pPr>
        <w:pStyle w:val="Heading2"/>
        <w:keepNext/>
        <w:spacing w:after="60" w:before="160"/>
      </w:pPr>
      <w:r>
        <w:rPr>
          <w:rFonts w:ascii="Georgia" w:cs="Georgia" w:eastAsia="Georgia" w:hAnsi="Georgia"/>
          <w:b/>
          <w:bCs/>
          <w:color w:val="2E3A44"/>
          <w:sz w:val="20"/>
          <w:szCs w:val="20"/>
        </w:rPr>
        <w:t xml:space="preserve">COMPLETION IS SERVER-SIDE, EARNED, AND SAFE UNDER PRESSURE</w:t>
      </w:r>
    </w:p>
    <w:p>
      <w:pPr>
        <w:spacing w:after="40" w:line="252" w:lineRule="auto"/>
      </w:pPr>
      <w:r>
        <w:rPr>
          <w:rFonts w:ascii="Calibri" w:cs="Calibri" w:eastAsia="Calibri" w:hAnsi="Calibri"/>
          <w:b w:val="false"/>
          <w:bCs w:val="false"/>
          <w:i w:val="false"/>
          <w:iCs w:val="false"/>
          <w:color w:val="3A3A38"/>
          <w:sz w:val="19"/>
          <w:szCs w:val="19"/>
        </w:rPr>
        <w:t xml:space="preserve">Completion is recorded only after the system observes each real action, and lives on the server (never trusted from the phone). It is issued once per guard, resumes safely if the app closes or the guard switches devices, and two sessions at once can never create duplicate reports or roll progress backwards. If practice data cannot be safely hidden, completion is withheld and the guard stays in the exercise — protecting live data outranks finishing.</w:t>
      </w:r>
    </w:p>
    <w:p>
      <w:pPr>
        <w:pStyle w:val="Heading1"/>
        <w:keepNext/>
        <w:pBdr>
          <w:bottom w:val="single" w:color="E6E4DF" w:sz="4" w:space="6"/>
        </w:pBdr>
        <w:spacing w:after="70" w:before="190"/>
      </w:pPr>
      <w:r>
        <w:rPr>
          <w:rFonts w:ascii="Calibri" w:cs="Calibri" w:eastAsia="Calibri" w:hAnsi="Calibri"/>
          <w:b/>
          <w:bCs/>
          <w:color w:val="4A6B82"/>
          <w:spacing w:val="10"/>
          <w:sz w:val="19"/>
          <w:szCs w:val="19"/>
        </w:rPr>
        <w:t xml:space="preserve">04   </w:t>
      </w:r>
      <w:r>
        <w:rPr>
          <w:rFonts w:ascii="Georgia" w:cs="Georgia" w:eastAsia="Georgia" w:hAnsi="Georgia"/>
          <w:color w:val="3A3A38"/>
          <w:sz w:val="25"/>
          <w:szCs w:val="25"/>
        </w:rPr>
        <w:t xml:space="preserve">Handling the unhappy paths</w:t>
      </w:r>
    </w:p>
    <w:tbl>
      <w:tblPr>
        <w:tblW w:type="dxa" w:w="9648"/>
        <w:tblBorders>
          <w:top w:val="none"/>
          <w:left w:val="none"/>
          <w:bottom w:val="none"/>
          <w:right w:val="none"/>
          <w:insideH w:val="single" w:color="E6E4DF" w:sz="2"/>
          <w:insideV w:val="none"/>
        </w:tblBorders>
      </w:tblPr>
      <w:tblGrid>
        <w:gridCol w:w="2500"/>
        <w:gridCol w:w="7148"/>
      </w:tblGrid>
      <w:tr>
        <w:trPr>
          <w:cantSplit/>
          <w:tblHeader/>
        </w:trPr>
        <w:tc>
          <w:tcPr>
            <w:tcW w:type="dxa" w:w="2500"/>
            <w:tcBorders>
              <w:top w:val="none"/>
              <w:left w:val="none"/>
              <w:bottom w:val="single" w:color="4A6B82" w:sz="8"/>
              <w:right w:val="none"/>
            </w:tcBorders>
            <w:tcMar>
              <w:top w:type="dxa" w:w="26"/>
              <w:left w:type="dxa" w:w="40"/>
              <w:bottom w:type="dxa" w:w="44"/>
              <w:right w:type="dxa" w:w="150"/>
            </w:tcMar>
            <w:vAlign w:val="bottom"/>
          </w:tcPr>
          <w:p>
            <w:pPr>
              <w:spacing w:after="0"/>
            </w:pPr>
            <w:r>
              <w:rPr>
                <w:rFonts w:ascii="Calibri" w:cs="Calibri" w:eastAsia="Calibri" w:hAnsi="Calibri"/>
                <w:b/>
                <w:bCs/>
                <w:color w:val="4A6B82"/>
                <w:spacing w:val="8"/>
                <w:sz w:val="15"/>
                <w:szCs w:val="15"/>
              </w:rPr>
              <w:t xml:space="preserve">IF THIS HAPPENS</w:t>
            </w:r>
          </w:p>
        </w:tc>
        <w:tc>
          <w:tcPr>
            <w:tcW w:type="dxa" w:w="7148"/>
            <w:tcBorders>
              <w:top w:val="none"/>
              <w:left w:val="none"/>
              <w:bottom w:val="single" w:color="4A6B82" w:sz="8"/>
              <w:right w:val="none"/>
            </w:tcBorders>
            <w:tcMar>
              <w:top w:type="dxa" w:w="26"/>
              <w:left w:type="dxa" w:w="40"/>
              <w:bottom w:type="dxa" w:w="44"/>
              <w:right w:type="dxa" w:w="150"/>
            </w:tcMar>
            <w:vAlign w:val="bottom"/>
          </w:tcPr>
          <w:p>
            <w:pPr>
              <w:spacing w:after="0"/>
            </w:pPr>
            <w:r>
              <w:rPr>
                <w:rFonts w:ascii="Calibri" w:cs="Calibri" w:eastAsia="Calibri" w:hAnsi="Calibri"/>
                <w:b/>
                <w:bCs/>
                <w:color w:val="4A6B82"/>
                <w:spacing w:val="8"/>
                <w:sz w:val="15"/>
                <w:szCs w:val="15"/>
              </w:rPr>
              <w:t xml:space="preserve">WHAT THE GUARD EXPERIENCES</w:t>
            </w:r>
          </w:p>
        </w:tc>
      </w:tr>
      <w:tr>
        <w:trPr>
          <w:cantSplit/>
        </w:trPr>
        <w:tc>
          <w:tcPr>
            <w:tcW w:type="dxa" w:w="2500"/>
            <w:tcBorders>
              <w:top w:val="none"/>
              <w:left w:val="none"/>
              <w:bottom w:val="none"/>
              <w:right w:val="none"/>
            </w:tcBorders>
            <w:tcMar>
              <w:top w:type="dxa" w:w="46"/>
              <w:left w:type="dxa" w:w="40"/>
              <w:bottom w:type="dxa" w:w="4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 permission or NFC is still off</w:t>
            </w:r>
          </w:p>
        </w:tc>
        <w:tc>
          <w:tcPr>
            <w:tcW w:type="dxa" w:w="7148"/>
            <w:tcBorders>
              <w:top w:val="none"/>
              <w:left w:val="none"/>
              <w:bottom w:val="none"/>
              <w:right w:val="none"/>
            </w:tcBorders>
            <w:tcMar>
              <w:top w:type="dxa" w:w="46"/>
              <w:left w:type="dxa" w:w="40"/>
              <w:bottom w:type="dxa" w:w="4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 names exactly what is missing and links straight back to the setting; it does not advance on the guard’s word alone. Anything that genuinely cannot be enabled routes to support so the guard is never stuck.</w:t>
            </w:r>
          </w:p>
        </w:tc>
      </w:tr>
      <w:tr>
        <w:trPr>
          <w:cantSplit/>
        </w:trPr>
        <w:tc>
          <w:tcPr>
            <w:tcW w:type="dxa" w:w="2500"/>
            <w:tcBorders>
              <w:top w:val="none"/>
              <w:left w:val="none"/>
              <w:bottom w:val="none"/>
              <w:right w:val="none"/>
            </w:tcBorders>
            <w:tcMar>
              <w:top w:type="dxa" w:w="46"/>
              <w:left w:type="dxa" w:w="40"/>
              <w:bottom w:type="dxa" w:w="4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Network, speech, or save fails</w:t>
            </w:r>
          </w:p>
        </w:tc>
        <w:tc>
          <w:tcPr>
            <w:tcW w:type="dxa" w:w="7148"/>
            <w:tcBorders>
              <w:top w:val="none"/>
              <w:left w:val="none"/>
              <w:bottom w:val="none"/>
              <w:right w:val="none"/>
            </w:tcBorders>
            <w:tcMar>
              <w:top w:type="dxa" w:w="46"/>
              <w:left w:type="dxa" w:w="40"/>
              <w:bottom w:type="dxa" w:w="4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Progress is kept and a clear “try again” is shown; the current step and any edit are never silently lost.</w:t>
            </w:r>
          </w:p>
        </w:tc>
      </w:tr>
      <w:tr>
        <w:trPr>
          <w:cantSplit/>
        </w:trPr>
        <w:tc>
          <w:tcPr>
            <w:tcW w:type="dxa" w:w="2500"/>
            <w:tcBorders>
              <w:top w:val="none"/>
              <w:left w:val="none"/>
              <w:bottom w:val="none"/>
              <w:right w:val="none"/>
            </w:tcBorders>
            <w:tcMar>
              <w:top w:type="dxa" w:w="46"/>
              <w:left w:type="dxa" w:w="40"/>
              <w:bottom w:type="dxa" w:w="4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 spoken correction is misheard</w:t>
            </w:r>
          </w:p>
        </w:tc>
        <w:tc>
          <w:tcPr>
            <w:tcW w:type="dxa" w:w="7148"/>
            <w:tcBorders>
              <w:top w:val="none"/>
              <w:left w:val="none"/>
              <w:bottom w:val="none"/>
              <w:right w:val="none"/>
            </w:tcBorders>
            <w:tcMar>
              <w:top w:type="dxa" w:w="46"/>
              <w:left w:type="dxa" w:w="40"/>
              <w:bottom w:type="dxa" w:w="4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 asks again; the guard can retry by voice or switch to the manual long-press edit instead.</w:t>
            </w:r>
          </w:p>
        </w:tc>
      </w:tr>
      <w:tr>
        <w:trPr>
          <w:cantSplit/>
        </w:trPr>
        <w:tc>
          <w:tcPr>
            <w:tcW w:type="dxa" w:w="2500"/>
            <w:tcBorders>
              <w:top w:val="none"/>
              <w:left w:val="none"/>
              <w:bottom w:val="none"/>
              <w:right w:val="none"/>
            </w:tcBorders>
            <w:tcMar>
              <w:top w:type="dxa" w:w="46"/>
              <w:left w:type="dxa" w:w="40"/>
              <w:bottom w:type="dxa" w:w="4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 manual edit fails to save</w:t>
            </w:r>
          </w:p>
        </w:tc>
        <w:tc>
          <w:tcPr>
            <w:tcW w:type="dxa" w:w="7148"/>
            <w:tcBorders>
              <w:top w:val="none"/>
              <w:left w:val="none"/>
              <w:bottom w:val="none"/>
              <w:right w:val="none"/>
            </w:tcBorders>
            <w:tcMar>
              <w:top w:type="dxa" w:w="46"/>
              <w:left w:type="dxa" w:w="40"/>
              <w:bottom w:type="dxa" w:w="4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The failure is shown and the guard’s typed text is kept for another try; the report is never left half-changed.</w:t>
            </w:r>
          </w:p>
        </w:tc>
      </w:tr>
      <w:tr>
        <w:trPr>
          <w:cantSplit/>
        </w:trPr>
        <w:tc>
          <w:tcPr>
            <w:tcW w:type="dxa" w:w="2500"/>
            <w:tcBorders>
              <w:top w:val="none"/>
              <w:left w:val="none"/>
              <w:bottom w:val="none"/>
              <w:right w:val="none"/>
            </w:tcBorders>
            <w:tcMar>
              <w:top w:type="dxa" w:w="46"/>
              <w:left w:type="dxa" w:w="40"/>
              <w:bottom w:type="dxa" w:w="4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Practice data cannot be safely hidden</w:t>
            </w:r>
          </w:p>
        </w:tc>
        <w:tc>
          <w:tcPr>
            <w:tcW w:type="dxa" w:w="7148"/>
            <w:tcBorders>
              <w:top w:val="none"/>
              <w:left w:val="none"/>
              <w:bottom w:val="none"/>
              <w:right w:val="none"/>
            </w:tcBorders>
            <w:tcMar>
              <w:top w:type="dxa" w:w="46"/>
              <w:left w:type="dxa" w:w="40"/>
              <w:bottom w:type="dxa" w:w="4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The step stops safely: completion is withheld and the guard stays in the exercise. Only a stage/error code is recorded — never the practice content.</w:t>
            </w:r>
          </w:p>
        </w:tc>
      </w:tr>
    </w:tbl>
    <w:p>
      <w:pPr>
        <w:pStyle w:val="Heading1"/>
        <w:keepNext/>
        <w:pBdr>
          <w:bottom w:val="single" w:color="E6E4DF" w:sz="4" w:space="6"/>
        </w:pBdr>
        <w:spacing w:after="70" w:before="190"/>
      </w:pPr>
      <w:r>
        <w:rPr>
          <w:rFonts w:ascii="Calibri" w:cs="Calibri" w:eastAsia="Calibri" w:hAnsi="Calibri"/>
          <w:b/>
          <w:bCs/>
          <w:color w:val="4A6B82"/>
          <w:spacing w:val="10"/>
          <w:sz w:val="19"/>
          <w:szCs w:val="19"/>
        </w:rPr>
        <w:t xml:space="preserve">05   </w:t>
      </w:r>
      <w:r>
        <w:rPr>
          <w:rFonts w:ascii="Georgia" w:cs="Georgia" w:eastAsia="Georgia" w:hAnsi="Georgia"/>
          <w:color w:val="3A3A38"/>
          <w:sz w:val="25"/>
          <w:szCs w:val="25"/>
        </w:rPr>
        <w:t xml:space="preserve">Confirm with engineering before building</w:t>
      </w:r>
    </w:p>
    <w:p>
      <w:pPr>
        <w:spacing w:after="60" w:line="252" w:lineRule="auto"/>
      </w:pPr>
      <w:r>
        <w:rPr>
          <w:rFonts w:ascii="Calibri" w:cs="Calibri" w:eastAsia="Calibri" w:hAnsi="Calibri"/>
          <w:b w:val="false"/>
          <w:bCs w:val="false"/>
          <w:i w:val="false"/>
          <w:iCs w:val="false"/>
          <w:color w:val="3A3A38"/>
          <w:sz w:val="19"/>
          <w:szCs w:val="19"/>
        </w:rPr>
        <w:t xml:space="preserve">A few things depend on how the platform already behaves. They are gathered here so they are settled once, up front. None is expected to be a blocker.</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Does the app already know when a guard signs in for the first time?</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Can this exercise be launched on its own, without the usual voice or tap triggers that start other scenarios?</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Can SAM run in a practice mode whose conversation and report never enter live reporting?</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What is the exact way the app updates an existing report — both when SAM does it by voice and when the guard edits their message by hand?</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The archive / training flag exists — confirm exactly which live feeds, reports, alerts, integrations, and views the new exclusion filter must cover, and where reports are created so the flag is set at creation.</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Is there already a place to store “this guard has completed onboarding,” or does one need to be added?</w:t>
      </w:r>
    </w:p>
    <w:p>
      <w:pPr>
        <w:pStyle w:val="Heading1"/>
        <w:keepNext/>
        <w:pBdr>
          <w:bottom w:val="single" w:color="E6E4DF" w:sz="4" w:space="6"/>
        </w:pBdr>
        <w:spacing w:after="70" w:before="190"/>
      </w:pPr>
      <w:r>
        <w:rPr>
          <w:rFonts w:ascii="Calibri" w:cs="Calibri" w:eastAsia="Calibri" w:hAnsi="Calibri"/>
          <w:b/>
          <w:bCs/>
          <w:color w:val="4A6B82"/>
          <w:spacing w:val="10"/>
          <w:sz w:val="19"/>
          <w:szCs w:val="19"/>
        </w:rPr>
        <w:t xml:space="preserve">06   </w:t>
      </w:r>
      <w:r>
        <w:rPr>
          <w:rFonts w:ascii="Georgia" w:cs="Georgia" w:eastAsia="Georgia" w:hAnsi="Georgia"/>
          <w:color w:val="3A3A38"/>
          <w:sz w:val="25"/>
          <w:szCs w:val="25"/>
        </w:rPr>
        <w:t xml:space="preserve">Rollout, guardrails, and done</w:t>
      </w:r>
    </w:p>
    <w:p>
      <w:pPr>
        <w:spacing w:after="60" w:line="252" w:lineRule="auto"/>
      </w:pPr>
      <w:r>
        <w:rPr>
          <w:rFonts w:ascii="Calibri" w:cs="Calibri" w:eastAsia="Calibri" w:hAnsi="Calibri"/>
          <w:b w:val="false"/>
          <w:bCs w:val="false"/>
          <w:i w:val="false"/>
          <w:iCs w:val="false"/>
          <w:color w:val="3A3A38"/>
          <w:sz w:val="19"/>
          <w:szCs w:val="19"/>
        </w:rPr>
        <w:t xml:space="preserve">Production go-live is </w:t>
      </w:r>
      <w:r>
        <w:rPr>
          <w:rFonts w:ascii="Calibri" w:cs="Calibri" w:eastAsia="Calibri" w:hAnsi="Calibri"/>
          <w:b/>
          <w:bCs/>
          <w:i w:val="false"/>
          <w:iCs w:val="false"/>
          <w:color w:val="3A3A38"/>
          <w:sz w:val="19"/>
          <w:szCs w:val="19"/>
        </w:rPr>
        <w:t xml:space="preserve">blocked</w:t>
      </w:r>
      <w:r>
        <w:rPr>
          <w:rFonts w:ascii="Calibri" w:cs="Calibri" w:eastAsia="Calibri" w:hAnsi="Calibri"/>
          <w:b w:val="false"/>
          <w:bCs w:val="false"/>
          <w:i w:val="false"/>
          <w:iCs w:val="false"/>
          <w:color w:val="3A3A38"/>
          <w:sz w:val="19"/>
          <w:szCs w:val="19"/>
        </w:rPr>
        <w:t xml:space="preserve"> until the exclusion filter that hides training data from every live surface is built and verified; until then it runs only in DEV/UAT with a dedicated test tenant and test guards. Roll out behind a switch, so it can be enabled gradually and turned off instantly without erasing completed status. It is universal for all guards — no customer-specific setup — and changes no existing templates.</w:t>
      </w:r>
    </w:p>
    <w:p>
      <w:pPr>
        <w:pStyle w:val="Heading2"/>
        <w:keepNext/>
        <w:spacing w:after="60" w:before="160"/>
      </w:pPr>
      <w:r>
        <w:rPr>
          <w:rFonts w:ascii="Georgia" w:cs="Georgia" w:eastAsia="Georgia" w:hAnsi="Georgia"/>
          <w:b/>
          <w:bCs/>
          <w:color w:val="2E3A44"/>
          <w:sz w:val="20"/>
          <w:szCs w:val="20"/>
        </w:rPr>
        <w:t xml:space="preserve">DONE MEANS</w:t>
      </w:r>
    </w:p>
    <w:p>
      <w:pPr>
        <w:pStyle w:val="ListParagraph"/>
        <w:numPr>
          <w:ilvl w:val="0"/>
          <w:numId w:val="4"/>
        </w:numPr>
        <w:spacing w:after="48" w:line="250" w:lineRule="auto"/>
      </w:pPr>
      <w:r>
        <w:rPr>
          <w:rFonts w:ascii="Calibri" w:cs="Calibri" w:eastAsia="Calibri" w:hAnsi="Calibri"/>
          <w:b w:val="false"/>
          <w:bCs w:val="false"/>
          <w:i w:val="false"/>
          <w:iCs w:val="false"/>
          <w:color w:val="3A3A38"/>
          <w:sz w:val="19"/>
          <w:szCs w:val="19"/>
        </w:rPr>
        <w:t xml:space="preserve">A guard — new or existing — is shown the exercise once, completes it by doing the real steps, and lands on the home screen; reopening later keeps their completed status.</w:t>
      </w:r>
    </w:p>
    <w:p>
      <w:pPr>
        <w:pStyle w:val="ListParagraph"/>
        <w:numPr>
          <w:ilvl w:val="0"/>
          <w:numId w:val="4"/>
        </w:numPr>
        <w:spacing w:after="48" w:line="250" w:lineRule="auto"/>
      </w:pPr>
      <w:r>
        <w:rPr>
          <w:rFonts w:ascii="Calibri" w:cs="Calibri" w:eastAsia="Calibri" w:hAnsi="Calibri"/>
          <w:b w:val="false"/>
          <w:bCs w:val="false"/>
          <w:i w:val="false"/>
          <w:iCs w:val="false"/>
          <w:color w:val="3A3A38"/>
          <w:sz w:val="19"/>
          <w:szCs w:val="19"/>
        </w:rPr>
        <w:t xml:space="preserve">The exclusion filter is built and the practice report is proven absent from every live surface, and a forced hide-failure withholds completion.</w:t>
      </w:r>
    </w:p>
    <w:p>
      <w:pPr>
        <w:pStyle w:val="ListParagraph"/>
        <w:numPr>
          <w:ilvl w:val="0"/>
          <w:numId w:val="4"/>
        </w:numPr>
        <w:spacing w:after="48" w:line="250" w:lineRule="auto"/>
      </w:pPr>
      <w:r>
        <w:rPr>
          <w:rFonts w:ascii="Calibri" w:cs="Calibri" w:eastAsia="Calibri" w:hAnsi="Calibri"/>
          <w:b w:val="false"/>
          <w:bCs w:val="false"/>
          <w:i w:val="false"/>
          <w:iCs w:val="false"/>
          <w:color w:val="3A3A38"/>
          <w:sz w:val="19"/>
          <w:szCs w:val="19"/>
        </w:rPr>
        <w:t xml:space="preserve">The confirm-with-engineering items are answered, and Vincent Smeyers has signed off.</w:t>
      </w:r>
    </w:p>
    <w:p>
      <w:pPr>
        <w:pBdr>
          <w:top w:val="single" w:color="E6E4DF" w:sz="5" w:space="5"/>
        </w:pBdr>
        <w:spacing w:before="90"/>
      </w:pPr>
      <w:r>
        <w:rPr>
          <w:rFonts w:ascii="Calibri" w:cs="Calibri" w:eastAsia="Calibri" w:hAnsi="Calibri"/>
          <w:b w:val="false"/>
          <w:bCs w:val="false"/>
          <w:i/>
          <w:iCs/>
          <w:color w:val="77746E"/>
          <w:sz w:val="16"/>
          <w:szCs w:val="16"/>
        </w:rPr>
        <w:t xml:space="preserve">Internal build and testing only — no production change until Vincent Smeyers has signed off.</w:t>
      </w:r>
    </w:p>
    <w:sectPr>
      <w:headerReference w:type="default" r:id="rId7"/>
      <w:footerReference w:type="default" r:id="rId8"/>
      <w:pgSz w:w="12240" w:h="15840" w:orient="portrait"/>
      <w:pgMar w:top="1224" w:right="1296" w:bottom="1224"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6E4DF" w:sz="3" w:space="3"/>
      </w:pBdr>
      <w:tabs>
        <w:tab w:val="right" w:pos="9648"/>
      </w:tabs>
      <w:spacing w:before="0"/>
    </w:pPr>
    <w:r>
      <w:rPr>
        <w:rFonts w:ascii="Calibri" w:cs="Calibri" w:eastAsia="Calibri" w:hAnsi="Calibri"/>
        <w:b w:val="false"/>
        <w:bCs w:val="false"/>
        <w:i w:val="false"/>
        <w:iCs w:val="false"/>
        <w:color w:val="77746E"/>
        <w:sz w:val="15"/>
        <w:szCs w:val="15"/>
      </w:rPr>
      <w:t xml:space="preserve">Confidential — Pronect internal</w:t>
    </w:r>
    <w:r>
      <w:rPr>
        <w:rFonts w:ascii="Calibri" w:cs="Calibri" w:eastAsia="Calibri" w:hAnsi="Calibri"/>
        <w:color w:val="77746E"/>
        <w:sz w:val="15"/>
        <w:szCs w:val="15"/>
      </w:rPr>
      <w:tab/>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6E4DF" w:sz="3" w:space="3"/>
      </w:pBdr>
      <w:tabs>
        <w:tab w:val="right" w:pos="9648"/>
      </w:tabs>
      <w:spacing w:after="0"/>
    </w:pPr>
    <w:r>
      <w:rPr>
        <w:rFonts w:ascii="Calibri" w:cs="Calibri" w:eastAsia="Calibri" w:hAnsi="Calibri"/>
        <w:b w:val="false"/>
        <w:bCs w:val="false"/>
        <w:i w:val="false"/>
        <w:iCs w:val="false"/>
        <w:color w:val="77746E"/>
        <w:sz w:val="15"/>
        <w:szCs w:val="15"/>
      </w:rPr>
      <w:t xml:space="preserve">SAM OnSite — Guard Onboarding</w:t>
    </w:r>
    <w:r>
      <w:rPr>
        <w:rFonts w:ascii="Calibri" w:cs="Calibri" w:eastAsia="Calibri" w:hAnsi="Calibri"/>
        <w:sz w:val="15"/>
        <w:szCs w:val="15"/>
      </w:rPr>
      <w:tab/>
    </w:r>
    <w:r>
      <w:rPr>
        <w:rFonts w:ascii="Calibri" w:cs="Calibri" w:eastAsia="Calibri" w:hAnsi="Calibri"/>
        <w:b w:val="false"/>
        <w:bCs w:val="false"/>
        <w:i w:val="false"/>
        <w:iCs w:val="false"/>
        <w:color w:val="77746E"/>
        <w:sz w:val="15"/>
        <w:szCs w:val="15"/>
      </w:rPr>
      <w:t xml:space="preserve">MVP specification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3"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4" w15:restartNumberingAfterBreak="0">
    <w:multiLevelType w:val="hybridMultilevel"/>
    <w:lvl w:ilvl="0" w15:tentative="1">
      <w:start w:val="1"/>
      <w:numFmt w:val="decimal"/>
      <w:lvlText w:val="%1."/>
      <w:lvlJc w:val="left"/>
      <w:pPr>
        <w:ind w:left="400" w:hanging="260"/>
      </w:pPr>
      <w:rPr>
        <w:rFonts w:ascii="Calibri" w:cs="Calibri" w:eastAsia="Calibri" w:hAnsi="Calibri"/>
        <w:b/>
        <w:bCs/>
        <w:color w:val="4A6B82"/>
        <w:sz w:val="19"/>
        <w:szCs w:val="19"/>
      </w:r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A3A38"/>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Georgia" w:cs="Georgia" w:eastAsia="Georgia" w:hAnsi="Georgia"/>
      <w:b/>
      <w:bCs/>
      <w:color w:val="3A3A38"/>
      <w:sz w:val="24"/>
      <w:szCs w:val="24"/>
    </w:rPr>
  </w:style>
  <w:style w:type="paragraph" w:styleId="Heading2">
    <w:name w:val="Heading 2"/>
    <w:basedOn w:val="Normal"/>
    <w:next w:val="Normal"/>
    <w:qFormat/>
    <w:rPr>
      <w:rFonts w:ascii="Calibri" w:cs="Calibri" w:eastAsia="Calibri" w:hAnsi="Calibri"/>
      <w:b/>
      <w:bCs/>
      <w:color w:val="2E3A44"/>
      <w:sz w:val="19"/>
      <w:szCs w:val="19"/>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 OnSite — Guard Onboarding (MVP specification)</dc:title>
  <dc:creator>Pronect</dc:creator>
  <dc:description>Guard onboarding MVP specification</dc:description>
  <cp:lastModifiedBy>Un-named</cp:lastModifiedBy>
  <cp:revision>1</cp:revision>
  <dcterms:created xsi:type="dcterms:W3CDTF">2026-07-29T08:39:44.419Z</dcterms:created>
  <dcterms:modified xsi:type="dcterms:W3CDTF">2026-07-29T08:39:44.419Z</dcterms:modified>
</cp:coreProperties>
</file>

<file path=docProps/custom.xml><?xml version="1.0" encoding="utf-8"?>
<Properties xmlns="http://schemas.openxmlformats.org/officeDocument/2006/custom-properties" xmlns:vt="http://schemas.openxmlformats.org/officeDocument/2006/docPropsVTypes"/>
</file>