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pPr>
      <w:r>
        <w:rPr>
          <w:rFonts w:ascii="Calibri" w:cs="Calibri" w:eastAsia="Calibri" w:hAnsi="Calibri"/>
          <w:b/>
          <w:bCs/>
          <w:i w:val="false"/>
          <w:iCs w:val="false"/>
          <w:color w:val="4A6B82"/>
          <w:spacing w:val="40"/>
          <w:sz w:val="16"/>
          <w:szCs w:val="16"/>
        </w:rPr>
        <w:t xml:space="preserve">PRONECT   ·   SAM ONSITE</w:t>
      </w:r>
    </w:p>
    <w:p>
      <w:pPr>
        <w:spacing w:after="20"/>
      </w:pPr>
      <w:r>
        <w:rPr>
          <w:rFonts w:ascii="Georgia" w:cs="Georgia" w:eastAsia="Georgia" w:hAnsi="Georgia"/>
          <w:b/>
          <w:bCs/>
          <w:color w:val="3A3A38"/>
          <w:sz w:val="46"/>
          <w:szCs w:val="46"/>
        </w:rPr>
        <w:t xml:space="preserve">Guard Onboarding</w:t>
      </w:r>
    </w:p>
    <w:p>
      <w:pPr>
        <w:pBdr>
          <w:bottom w:val="single" w:color="4A6B82" w:sz="4" w:space="10"/>
        </w:pBdr>
        <w:spacing w:after="140"/>
      </w:pPr>
      <w:r>
        <w:rPr>
          <w:rFonts w:ascii="Georgia" w:cs="Georgia" w:eastAsia="Georgia" w:hAnsi="Georgia"/>
          <w:i/>
          <w:iCs/>
          <w:color w:val="77746E"/>
          <w:sz w:val="21"/>
          <w:szCs w:val="21"/>
        </w:rPr>
        <w:t xml:space="preserve">Mandatory first-login voice training — MVP specification</w:t>
      </w:r>
    </w:p>
    <w:tbl>
      <w:tblPr>
        <w:tblW w:type="dxa" w:w="9648"/>
        <w:tblBorders>
          <w:top w:val="none"/>
          <w:left w:val="none"/>
          <w:bottom w:val="none"/>
          <w:right w:val="none"/>
          <w:insideH w:val="none"/>
          <w:insideV w:val="none"/>
        </w:tblBorders>
      </w:tblPr>
      <w:tblGrid>
        <w:gridCol w:w="9648"/>
      </w:tblGrid>
      <w:tr>
        <w:tc>
          <w:tcPr>
            <w:tcW w:type="dxa" w:w="9648"/>
            <w:tcBorders>
              <w:top w:val="none"/>
              <w:left w:val="none"/>
              <w:bottom w:val="none"/>
              <w:right w:val="none"/>
            </w:tcBorders>
            <w:shd w:fill="F7F6F2" w:color="auto" w:val="clear"/>
            <w:tcMar>
              <w:top w:type="dxa" w:w="100"/>
              <w:left w:type="dxa" w:w="180"/>
              <w:bottom w:type="dxa" w:w="100"/>
              <w:right w:type="dxa" w:w="180"/>
            </w:tcMar>
          </w:tcPr>
          <w:p>
            <w:pPr>
              <w:spacing w:after="0"/>
            </w:pPr>
            <w:r>
              <w:rPr>
                <w:rFonts w:ascii="Calibri" w:cs="Calibri" w:eastAsia="Calibri" w:hAnsi="Calibri"/>
                <w:b/>
                <w:bCs/>
                <w:i w:val="false"/>
                <w:iCs w:val="false"/>
                <w:color w:val="4A6B82"/>
                <w:spacing w:val="4"/>
                <w:sz w:val="16"/>
                <w:szCs w:val="16"/>
              </w:rPr>
              <w:t xml:space="preserve">Product  </w:t>
            </w:r>
            <w:r>
              <w:rPr>
                <w:rFonts w:ascii="Calibri" w:cs="Calibri" w:eastAsia="Calibri" w:hAnsi="Calibri"/>
                <w:b w:val="false"/>
                <w:bCs w:val="false"/>
                <w:i w:val="false"/>
                <w:iCs w:val="false"/>
                <w:color w:val="3A3A38"/>
                <w:sz w:val="18"/>
                <w:szCs w:val="18"/>
              </w:rPr>
              <w:t xml:space="preserve">SAM OnSite       </w:t>
            </w:r>
            <w:r>
              <w:rPr>
                <w:rFonts w:ascii="Calibri" w:cs="Calibri" w:eastAsia="Calibri" w:hAnsi="Calibri"/>
                <w:b/>
                <w:bCs/>
                <w:i w:val="false"/>
                <w:iCs w:val="false"/>
                <w:color w:val="4A6B82"/>
                <w:spacing w:val="4"/>
                <w:sz w:val="16"/>
                <w:szCs w:val="16"/>
              </w:rPr>
              <w:t xml:space="preserve">Applies to  </w:t>
            </w:r>
            <w:r>
              <w:rPr>
                <w:rFonts w:ascii="Calibri" w:cs="Calibri" w:eastAsia="Calibri" w:hAnsi="Calibri"/>
                <w:b w:val="false"/>
                <w:bCs w:val="false"/>
                <w:i w:val="false"/>
                <w:iCs w:val="false"/>
                <w:color w:val="3A3A38"/>
                <w:sz w:val="18"/>
                <w:szCs w:val="18"/>
              </w:rPr>
              <w:t xml:space="preserve">Every guard, once       </w:t>
            </w:r>
            <w:r>
              <w:rPr>
                <w:rFonts w:ascii="Calibri" w:cs="Calibri" w:eastAsia="Calibri" w:hAnsi="Calibri"/>
                <w:b/>
                <w:bCs/>
                <w:i w:val="false"/>
                <w:iCs w:val="false"/>
                <w:color w:val="4A6B82"/>
                <w:spacing w:val="4"/>
                <w:sz w:val="16"/>
                <w:szCs w:val="16"/>
              </w:rPr>
              <w:t xml:space="preserve">Language  </w:t>
            </w:r>
            <w:r>
              <w:rPr>
                <w:rFonts w:ascii="Calibri" w:cs="Calibri" w:eastAsia="Calibri" w:hAnsi="Calibri"/>
                <w:b w:val="false"/>
                <w:bCs w:val="false"/>
                <w:i w:val="false"/>
                <w:iCs w:val="false"/>
                <w:color w:val="3A3A38"/>
                <w:sz w:val="18"/>
                <w:szCs w:val="18"/>
              </w:rPr>
              <w:t xml:space="preserve">English       </w:t>
            </w:r>
            <w:r>
              <w:rPr>
                <w:rFonts w:ascii="Calibri" w:cs="Calibri" w:eastAsia="Calibri" w:hAnsi="Calibri"/>
                <w:b/>
                <w:bCs/>
                <w:i w:val="false"/>
                <w:iCs w:val="false"/>
                <w:color w:val="4A6B82"/>
                <w:spacing w:val="4"/>
                <w:sz w:val="16"/>
                <w:szCs w:val="16"/>
              </w:rPr>
              <w:t xml:space="preserve">Status  </w:t>
            </w:r>
            <w:r>
              <w:rPr>
                <w:rFonts w:ascii="Calibri" w:cs="Calibri" w:eastAsia="Calibri" w:hAnsi="Calibri"/>
                <w:b w:val="false"/>
                <w:bCs w:val="false"/>
                <w:i w:val="false"/>
                <w:iCs w:val="false"/>
                <w:color w:val="3A3A38"/>
                <w:sz w:val="18"/>
                <w:szCs w:val="18"/>
              </w:rPr>
              <w:t xml:space="preserve">Draft for build       </w:t>
            </w:r>
            <w:r>
              <w:rPr>
                <w:rFonts w:ascii="Calibri" w:cs="Calibri" w:eastAsia="Calibri" w:hAnsi="Calibri"/>
                <w:b/>
                <w:bCs/>
                <w:i w:val="false"/>
                <w:iCs w:val="false"/>
                <w:color w:val="4A6B82"/>
                <w:spacing w:val="4"/>
                <w:sz w:val="16"/>
                <w:szCs w:val="16"/>
              </w:rPr>
              <w:t xml:space="preserve">Sign-off  </w:t>
            </w:r>
            <w:r>
              <w:rPr>
                <w:rFonts w:ascii="Calibri" w:cs="Calibri" w:eastAsia="Calibri" w:hAnsi="Calibri"/>
                <w:b w:val="false"/>
                <w:bCs w:val="false"/>
                <w:i w:val="false"/>
                <w:iCs w:val="false"/>
                <w:color w:val="3A3A38"/>
                <w:sz w:val="18"/>
                <w:szCs w:val="18"/>
              </w:rPr>
              <w:t xml:space="preserve">Vincent Smeyers</w:t>
            </w:r>
          </w:p>
        </w:tc>
      </w:tr>
    </w:tbl>
    <w:p>
      <w:pPr>
        <w:spacing w:after="70"/>
      </w:pP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0" w:line="258" w:lineRule="auto"/>
            </w:pPr>
            <w:r>
              <w:rPr>
                <w:rFonts w:ascii="Calibri" w:cs="Calibri" w:eastAsia="Calibri" w:hAnsi="Calibri"/>
                <w:b/>
                <w:bCs/>
                <w:i w:val="false"/>
                <w:iCs w:val="false"/>
                <w:color w:val="2E3A44"/>
                <w:sz w:val="19"/>
                <w:szCs w:val="19"/>
              </w:rPr>
              <w:t xml:space="preserve">In one minute.  </w:t>
            </w:r>
            <w:r>
              <w:rPr>
                <w:rFonts w:ascii="Calibri" w:cs="Calibri" w:eastAsia="Calibri" w:hAnsi="Calibri"/>
                <w:b w:val="false"/>
                <w:bCs w:val="false"/>
                <w:i w:val="false"/>
                <w:iCs w:val="false"/>
                <w:color w:val="3A3A38"/>
                <w:sz w:val="19"/>
                <w:szCs w:val="19"/>
              </w:rPr>
              <w:t xml:space="preserve">The first time a guard signs in, SAM introduces itself, gets the phone set up, and shows what it can do. It should feel like being handed a good tool rather than sitting a test. SAM walks the guard through the three everyday actions (ask a question, report an incident, fix a report) on a made-up incident, so nothing real is affected. It takes a few minutes, saves progress, cannot be skipped, and counts as done only once each step is genuinely done. It replaces the app-onboarding steps currently in the onboarding presentation. Practice data must stay out of every live surface. The filter that enforces this is not built yet, so it runs in the internal test environments until that is ready.</w:t>
            </w:r>
          </w:p>
        </w:tc>
      </w:tr>
    </w:tbl>
    <w:p>
      <w:pPr>
        <w:spacing w:after="40"/>
      </w:pP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01   </w:t>
      </w:r>
      <w:r>
        <w:rPr>
          <w:rFonts w:ascii="Georgia" w:cs="Georgia" w:eastAsia="Georgia" w:hAnsi="Georgia"/>
          <w:color w:val="3A3A38"/>
          <w:sz w:val="25"/>
          <w:szCs w:val="25"/>
        </w:rPr>
        <w:t xml:space="preserve">How it works, step by step</w:t>
      </w:r>
    </w:p>
    <w:p>
      <w:pPr>
        <w:spacing w:after="60" w:line="252" w:lineRule="auto"/>
      </w:pPr>
      <w:r>
        <w:rPr>
          <w:rFonts w:ascii="Calibri" w:cs="Calibri" w:eastAsia="Calibri" w:hAnsi="Calibri"/>
          <w:b w:val="false"/>
          <w:bCs w:val="false"/>
          <w:i w:val="false"/>
          <w:iCs w:val="false"/>
          <w:color w:val="3A3A38"/>
          <w:sz w:val="19"/>
          <w:szCs w:val="19"/>
        </w:rPr>
        <w:t xml:space="preserve">In SAM, a guard’s message is what creates and updates their report, so you fix it either by voice or by editing the message. Both are practised below. Quoted lines show the intended tone; the wording is settled with product before build.</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 guard signs in for the first time. SAM opens by itself, before the home screen, for new and existing guards alike.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opens with “Hello, I’m SAM. From today you talk and I write it up. Give me a few minutes and I’ll show you how.” The screen also sets the ground rules. This is required, nothing in it counts, and progress is saved, so leaving and coming back resumes at the same step.</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Next the phone gets set up, in three gates: app permissions, NFC (which reads the checkpoint tags), then background tracking. Each works the same way. SAM says what it needs and why, opens the one setting through a link held inside onboarding, and asks the guard to switch it on and come back to confirm. Naming the grant level matters here, since Android offers “only while using” and “all the time” and the app needs the second for location. Each link opens that setting alone and returns, so the guard never lands in the app’s ordinary navigation and out of a required exercise. A phone with no NFC chip skips that gate rather than routing the guard to support.</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Only now does the guard speak. “Press Talk and ask me something. Ask me how you report an incident.” SAM answers, and that first press doubles as the microphone check. If the permission was confirmed but never actually granted, the guard is sent back to that gate rather than left pressing a button that will never work. Nothing live is created here.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Then the real thing: SAM asks for a report “the way you’d tell a colleague” and offers one to use, a Dell laptop that has gone missing. SAM asks at most a couple of follow-up questions, accepts “I don’t know” for any of them, writes one practice report, and puts it on screen as a card labelled “Training”. “That’s it written up. Have a look.”</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With the report in front of them, the guard learns to correct it. “If you get something wrong, just tell me. Tell me the Dell should be a MacBook.” The same report and the guard’s own message update. No second report appears, and SAM says so. “Changed. Same report.”</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 second way is by hand, and SAM names the change it wants: press and hold the message just sent, and add that it happened at reception. The guard edits and saves, and the finished report shows both “MacBook” and “reception”.</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signs off. “That’s everything. You can report now, and you can put it right when I get it wrong.” Completion is recorded only after SAM has seen each step done for real. A Go-to-home button lands the guard on the normal home screen.</w:t>
      </w:r>
    </w:p>
    <w:p>
      <w:pPr>
        <w:spacing w:after="40" w:before="20"/>
      </w:pPr>
      <w:r>
        <w:rPr>
          <w:rFonts w:ascii="Calibri" w:cs="Calibri" w:eastAsia="Calibri" w:hAnsi="Calibri"/>
          <w:b w:val="false"/>
          <w:bCs w:val="false"/>
          <w:i w:val="false"/>
          <w:iCs w:val="false"/>
          <w:color w:val="77746E"/>
          <w:sz w:val="18"/>
          <w:szCs w:val="18"/>
        </w:rPr>
        <w:t xml:space="preserve">Throughout, the practice report carries the training flag from the instant it is created. That flag is what must keep it out of every live surface.</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02   </w:t>
      </w:r>
      <w:r>
        <w:rPr>
          <w:rFonts w:ascii="Georgia" w:cs="Georgia" w:eastAsia="Georgia" w:hAnsi="Georgia"/>
          <w:color w:val="3A3A38"/>
          <w:sz w:val="25"/>
          <w:szCs w:val="25"/>
        </w:rPr>
        <w:t xml:space="preserve">What must be true, and how we confirm it</w:t>
      </w:r>
    </w:p>
    <w:p>
      <w:pPr>
        <w:spacing w:after="70" w:line="252" w:lineRule="auto"/>
      </w:pPr>
      <w:r>
        <w:rPr>
          <w:rFonts w:ascii="Calibri" w:cs="Calibri" w:eastAsia="Calibri" w:hAnsi="Calibri"/>
          <w:b w:val="false"/>
          <w:bCs w:val="false"/>
          <w:i w:val="false"/>
          <w:iCs w:val="false"/>
          <w:color w:val="3A3A38"/>
          <w:sz w:val="18"/>
          <w:szCs w:val="18"/>
        </w:rPr>
        <w:t xml:space="preserve">Each row is a requirement together with how we will confirm it works, so nothing is left to interpretation. </w:t>
      </w: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77746E"/>
          <w:sz w:val="16"/>
          <w:szCs w:val="16"/>
        </w:rPr>
        <w:t xml:space="preserve">  an agreed behaviour (a few note an implementation detail to check).   </w:t>
      </w: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77746E"/>
          <w:sz w:val="16"/>
          <w:szCs w:val="16"/>
        </w:rPr>
        <w:t xml:space="preserve">  our recommended default.   </w:t>
      </w: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77746E"/>
          <w:sz w:val="16"/>
          <w:szCs w:val="16"/>
        </w:rPr>
        <w:t xml:space="preserve">  needs an engineering confirmation (listed in section 05).</w:t>
      </w:r>
    </w:p>
    <w:tbl>
      <w:tblPr>
        <w:tblW w:type="dxa" w:w="9648"/>
        <w:tblBorders>
          <w:top w:val="none"/>
          <w:left w:val="none"/>
          <w:bottom w:val="none"/>
          <w:right w:val="none"/>
          <w:insideH w:val="single" w:color="E6E4DF" w:sz="2"/>
          <w:insideV w:val="none"/>
        </w:tblBorders>
      </w:tblPr>
      <w:tblGrid>
        <w:gridCol w:w="2340"/>
        <w:gridCol w:w="7308"/>
      </w:tblGrid>
      <w:tr>
        <w:trPr>
          <w:cantSplit/>
          <w:tblHeader/>
        </w:trPr>
        <w:tc>
          <w:tcPr>
            <w:tcW w:type="dxa" w:w="2340"/>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7308"/>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WHAT IT MEANS AND HOW WE CONFIRM IT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Feels like a welcome, not a test</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SAM opens with a warm greeting saying what it does for the guard and why that helps, frames each step as a benefit (“That’s it written up”), encourages briefly after each, and signs off warmly. None of it should read as a list of instructions. Confirmed by a product read-through and by four of five test guards calling it welcoming, not a test.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Automatic start &amp; refresher</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Opens by itself at first sign-in, before the home screen is reachable. A finished guard can reopen it any time as a refresher without losing their completed status.</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Everyone, exactly once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Every active guard receives it one time, including guards who already had accounts before this feature. After finishing, their next sign-in goes straight to the home screen.</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Cannot be skipped</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There is no way to reach the home screen except by completing it.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Set up the phone: permissions, NFC, background tracking</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Three gates in sequence, each the same shape. SAM explains what it needs and why, opens that one setting through a link held inside onboarding, and the guard switches it on and returns to confirm. Each link opens the single setting and returns; it never drops the guard into the app’s ordinary navigation, which would be a way out of a required exercise. Grants have levels (“only while using”, “ask every time”, location “all the time”), so the words on screen must name the level needed. Setup should also turn off the phone’s automatic permission removal for unused apps, or access is silently lost months later. Confirmation is a tap, not speech, since the microphone may not be on yet. A phone without an NFC chip skips that gate. Anything else that genuinely cannot be enabled routes to support. Later, SAM reading each setting back would beat asking, since a guard can confirm without having done it. The Location screen already reads permission state, so it is partly possible; how far it extends is for engineering.</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Ask a question (practice only)</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asks a spoken question and SAM answers. Nothing live may result. Today the app logs even questions as activities, so the practice mode suppresses that record. The answer to the suggested question is written and checked in advance, because it is the first thing SAM ever does for this guard and an empty answer is worse than no question.</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Report one practice incident</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reports the made-up incident and SAM creates exactly one practice report. Repeats or retries must never create extra reports. Follow-up questions are capped and “I don’t know” always advances, since the guard is inventing details about a laptop that does not exist.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Fix a report by voice</w:t>
            </w:r>
          </w:p>
          <w:p>
            <w:pPr>
              <w:spacing w:after="0"/>
            </w:pPr>
            <w:r>
              <w:rPr>
                <w:rFonts w:ascii="Calibri" w:cs="Calibri" w:eastAsia="Calibri" w:hAnsi="Calibri"/>
                <w:b/>
                <w:bCs/>
                <w:color w:val="A05A38"/>
                <w:spacing w:val="6"/>
                <w:sz w:val="14"/>
                <w:szCs w:val="14"/>
              </w:rPr>
              <w:t xml:space="preserve">CHECK W/ ENG.</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tells SAM to change “Dell” to “MacBook”, the same report updates and no duplicate appears. Marked for engineering because how the app updates an existing report is not yet confirmed, and this step teaches the opposite lesson if it creates a second report instead.</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Fix a report by hand</w:t>
            </w:r>
          </w:p>
          <w:p>
            <w:pPr>
              <w:spacing w:after="0"/>
            </w:pPr>
            <w:r>
              <w:rPr>
                <w:rFonts w:ascii="Calibri" w:cs="Calibri" w:eastAsia="Calibri" w:hAnsi="Calibri"/>
                <w:b/>
                <w:bCs/>
                <w:color w:val="A05A38"/>
                <w:spacing w:val="6"/>
                <w:sz w:val="14"/>
                <w:szCs w:val="14"/>
              </w:rPr>
              <w:t xml:space="preserve">CHECK W/ ENG.</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long-presses the message they just sent, adds the location SAM names, and saves; the finished report ends up with both “MacBook” and “reception” in it. Marked for engineering because it is not yet confirmed the app supports this edit.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Marked as training at creation</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Every practice report carries the training flag (the platform’s archive / soft-delete flag) from the moment it is created. It is set as part of creating the report, so a report never exists without it.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Kept out of every live surface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practice report must appear in no live surface: reports, dashboards, analytics, exports, automated alerts and integrations, or the guard’s own activity list and search. The filter that excludes training-flagged data does not exist yet, which is why archived data is still visible in production. It has to be built and verified before go-live, and this stays in DEV/UAT until it is.</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Finishing is earned &amp; remembered</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Completion is recorded only after SAM sees each step done for real. A quiz or an “I’m done” button does not count. Stored on the server as version 1, issued once per guard, survives closing the app or switching devices, and cannot be duplicated.</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Tips taught in context</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tips from the train-the-trainer deck belong inside the practice steps, at the moment each one becomes useful, with SAM slipping it in as an aside. Listing them on a screen or reading them out one by one does not count. Which tips, and where each fits, to be agreed once the slide is shared.</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Say what is tracked, and who sees it</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Guards are asked for all-the-time location and background tracking on a work phone. One plain sentence should say what each is used for and what a supervisor can see. It is the first thing they will ask each other, and in a Belgian workforce it is a works-council matter as much as a tone one. Wording to be agreed with product and, where required, with the works council.</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Visual aids come later</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Extra visual help (tooltips, highlights) for dark or noisy sites is not built now; the need is judged during testing.</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 way out for a real incident (minor)</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Leave onboarding, report a real incident through normal reporting, return to where they left off, with completion neither granted nor skipped. Small to build, but it is the only door out of a flow that cannot otherwise be left, so it is not optional.</w:t>
            </w:r>
          </w:p>
        </w:tc>
      </w:tr>
    </w:tbl>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03   </w:t>
      </w:r>
      <w:r>
        <w:rPr>
          <w:rFonts w:ascii="Georgia" w:cs="Georgia" w:eastAsia="Georgia" w:hAnsi="Georgia"/>
          <w:color w:val="3A3A38"/>
          <w:sz w:val="25"/>
          <w:szCs w:val="25"/>
        </w:rPr>
        <w:t xml:space="preserve">What must not go wrong</w:t>
      </w:r>
    </w:p>
    <w:p>
      <w:pPr>
        <w:pStyle w:val="Heading2"/>
        <w:keepNext/>
        <w:spacing w:after="60" w:before="160"/>
      </w:pPr>
      <w:r>
        <w:rPr>
          <w:rFonts w:ascii="Georgia" w:cs="Georgia" w:eastAsia="Georgia" w:hAnsi="Georgia"/>
          <w:b/>
          <w:bCs/>
          <w:color w:val="2E3A44"/>
          <w:sz w:val="20"/>
          <w:szCs w:val="20"/>
        </w:rPr>
        <w:t xml:space="preserve">PRACTICE DATA MUST NEVER REACH LIVE OPERATIONS</w:t>
      </w:r>
    </w:p>
    <w:p>
      <w:pPr>
        <w:spacing w:after="92" w:line="252" w:lineRule="auto"/>
      </w:pPr>
      <w:r>
        <w:rPr>
          <w:rFonts w:ascii="Calibri" w:cs="Calibri" w:eastAsia="Calibri" w:hAnsi="Calibri"/>
          <w:b w:val="false"/>
          <w:bCs w:val="false"/>
          <w:i w:val="false"/>
          <w:iCs w:val="false"/>
          <w:color w:val="3A3A38"/>
          <w:sz w:val="19"/>
          <w:szCs w:val="19"/>
        </w:rPr>
        <w:t xml:space="preserve">A pretend stolen laptop must never pull a real supervisor out of bed at three in the morning. So the practice report is stamped with the training flag at the moment it is created, using the archive / soft-delete flag the platform already has. </w:t>
      </w:r>
      <w:r>
        <w:rPr>
          <w:rFonts w:ascii="Calibri" w:cs="Calibri" w:eastAsia="Calibri" w:hAnsi="Calibri"/>
          <w:b/>
          <w:bCs/>
          <w:i w:val="false"/>
          <w:iCs w:val="false"/>
          <w:color w:val="3A3A38"/>
          <w:sz w:val="19"/>
          <w:szCs w:val="19"/>
        </w:rPr>
        <w:t xml:space="preserve">The catch:</w:t>
      </w:r>
      <w:r>
        <w:rPr>
          <w:rFonts w:ascii="Calibri" w:cs="Calibri" w:eastAsia="Calibri" w:hAnsi="Calibri"/>
          <w:b w:val="false"/>
          <w:bCs w:val="false"/>
          <w:i w:val="false"/>
          <w:iCs w:val="false"/>
          <w:color w:val="3A3A38"/>
          <w:sz w:val="19"/>
          <w:szCs w:val="19"/>
        </w:rPr>
        <w:t xml:space="preserve"> nothing yet acts on that flag. Archived items still show up in production today, so the filter that hides them has to be written first. Until it exists and has been checked, this stays in the internal test environments and does not go near production. Write it once, </w:t>
      </w:r>
      <w:r>
        <w:rPr>
          <w:rFonts w:ascii="Calibri" w:cs="Calibri" w:eastAsia="Calibri" w:hAnsi="Calibri"/>
          <w:b/>
          <w:bCs/>
          <w:i w:val="false"/>
          <w:iCs w:val="false"/>
          <w:color w:val="3A3A38"/>
          <w:sz w:val="19"/>
          <w:szCs w:val="19"/>
        </w:rPr>
        <w:t xml:space="preserve">hide-by-default</w:t>
      </w:r>
      <w:r>
        <w:rPr>
          <w:rFonts w:ascii="Calibri" w:cs="Calibri" w:eastAsia="Calibri" w:hAnsi="Calibri"/>
          <w:b w:val="false"/>
          <w:bCs w:val="false"/>
          <w:i w:val="false"/>
          <w:iCs w:val="false"/>
          <w:color w:val="3A3A38"/>
          <w:sz w:val="19"/>
          <w:szCs w:val="19"/>
        </w:rPr>
        <w:t xml:space="preserve"> and low down where the data is read, and every screen above it inherits the behaviour without being asked. Clearing the practice records out for good is a later job. All that is kept is the guard’s completion status. Because a dispatched alert cannot be recalled, the dependency should be a mechanism and not a release convention: onboarding checks at launch that the filter is there and verified, and refuses to run if it is not.</w:t>
      </w:r>
    </w:p>
    <w:p>
      <w:pPr>
        <w:pStyle w:val="Heading2"/>
        <w:keepNext/>
        <w:spacing w:after="60" w:before="160"/>
      </w:pPr>
      <w:r>
        <w:rPr>
          <w:rFonts w:ascii="Georgia" w:cs="Georgia" w:eastAsia="Georgia" w:hAnsi="Georgia"/>
          <w:b/>
          <w:bCs/>
          <w:color w:val="2E3A44"/>
          <w:sz w:val="20"/>
          <w:szCs w:val="20"/>
        </w:rPr>
        <w:t xml:space="preserve">THE RISK THAT RUNS THE OTHER WAY</w:t>
      </w:r>
    </w:p>
    <w:p>
      <w:pPr>
        <w:spacing w:after="92" w:line="252" w:lineRule="auto"/>
      </w:pPr>
      <w:r>
        <w:rPr>
          <w:rFonts w:ascii="Calibri" w:cs="Calibri" w:eastAsia="Calibri" w:hAnsi="Calibri"/>
          <w:b w:val="false"/>
          <w:bCs w:val="false"/>
          <w:i w:val="false"/>
          <w:iCs w:val="false"/>
          <w:color w:val="3A3A38"/>
          <w:sz w:val="19"/>
          <w:szCs w:val="19"/>
        </w:rPr>
        <w:t xml:space="preserve">A guard is thirty seconds into being taught that this is how you report things when something actually happens. They press Talk and report it, and the safety mechanism swallows it: flagged training, hidden from the supervisor it should have reached. So a practice banner stays up for the whole exercise rather than appearing only on the finished card, and if what the guard reports is clearly not the suggested incident, SAM asks whether it is real before writing anything and sends a yes to normal reporting. This one does not go away at go-live, because the refresher puts experienced guards back in the same position.</w:t>
      </w:r>
    </w:p>
    <w:p>
      <w:pPr>
        <w:pStyle w:val="Heading2"/>
        <w:keepNext/>
        <w:spacing w:after="60" w:before="160"/>
      </w:pPr>
      <w:r>
        <w:rPr>
          <w:rFonts w:ascii="Georgia" w:cs="Georgia" w:eastAsia="Georgia" w:hAnsi="Georgia"/>
          <w:b/>
          <w:bCs/>
          <w:color w:val="2E3A44"/>
          <w:sz w:val="20"/>
          <w:szCs w:val="20"/>
        </w:rPr>
        <w:t xml:space="preserve">COMPLETION IS SERVER-SIDE, EARNED, AND SAFE UNDER PRESSURE</w:t>
      </w:r>
    </w:p>
    <w:p>
      <w:pPr>
        <w:spacing w:after="40" w:line="252" w:lineRule="auto"/>
      </w:pPr>
      <w:r>
        <w:rPr>
          <w:rFonts w:ascii="Calibri" w:cs="Calibri" w:eastAsia="Calibri" w:hAnsi="Calibri"/>
          <w:b w:val="false"/>
          <w:bCs w:val="false"/>
          <w:i w:val="false"/>
          <w:iCs w:val="false"/>
          <w:color w:val="3A3A38"/>
          <w:sz w:val="19"/>
          <w:szCs w:val="19"/>
        </w:rPr>
        <w:t xml:space="preserve">Nothing is marked finished on the guard’s word. The system watches each action actually happen, and the record of it sits on the server, never trusted from the phone. One per guard, it survives the app closing or the guard picking up a different handset, and two sessions running at once can never produce duplicate reports or push progress backwards. If practice data cannot be safely hidden, completion is withheld and the guard stays in the exercise. Protecting live data comes before finishing it. But nothing may trap a guard: after repeated failures the guard is released to the home screen with completion unmarked, because being un-onboarded is a reporting problem and being locked out of the app on shift is a safety one.</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04   </w:t>
      </w:r>
      <w:r>
        <w:rPr>
          <w:rFonts w:ascii="Georgia" w:cs="Georgia" w:eastAsia="Georgia" w:hAnsi="Georgia"/>
          <w:color w:val="3A3A38"/>
          <w:sz w:val="25"/>
          <w:szCs w:val="25"/>
        </w:rPr>
        <w:t xml:space="preserve">Handling the unhappy paths</w:t>
      </w:r>
    </w:p>
    <w:tbl>
      <w:tblPr>
        <w:tblW w:type="dxa" w:w="9648"/>
        <w:tblBorders>
          <w:top w:val="none"/>
          <w:left w:val="none"/>
          <w:bottom w:val="none"/>
          <w:right w:val="none"/>
          <w:insideH w:val="single" w:color="E6E4DF" w:sz="2"/>
          <w:insideV w:val="none"/>
        </w:tblBorders>
      </w:tblPr>
      <w:tblGrid>
        <w:gridCol w:w="2500"/>
        <w:gridCol w:w="7148"/>
      </w:tblGrid>
      <w:tr>
        <w:trPr>
          <w:cantSplit/>
          <w:tblHeader/>
        </w:trPr>
        <w:tc>
          <w:tcPr>
            <w:tcW w:type="dxa" w:w="2500"/>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IF THIS HAPPENS</w:t>
            </w:r>
          </w:p>
        </w:tc>
        <w:tc>
          <w:tcPr>
            <w:tcW w:type="dxa" w:w="7148"/>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WHAT THE GUARD EXPERIENCES</w:t>
            </w:r>
          </w:p>
        </w:tc>
      </w:tr>
      <w:tr>
        <w:trPr>
          <w:cantSplit/>
        </w:trPr>
        <w:tc>
          <w:tcPr>
            <w:tcW w:type="dxa" w:w="2500"/>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setting is still off after the guard confirms</w:t>
            </w:r>
          </w:p>
        </w:tc>
        <w:tc>
          <w:tcPr>
            <w:tcW w:type="dxa" w:w="7148"/>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takes the confirmation and moves on, with one exception: the microphone is checked at the first Talk press, because without it nothing afterwards works. A guard who confirmed but did not grant it goes back to that gate with an explanation. Other missed settings surface later as something that does not work, which is the argument for having SAM read them all back instead of asking. What truly cannot be enabled routes to support.</w:t>
            </w:r>
          </w:p>
        </w:tc>
      </w:tr>
      <w:tr>
        <w:trPr>
          <w:cantSplit/>
        </w:trPr>
        <w:tc>
          <w:tcPr>
            <w:tcW w:type="dxa" w:w="2500"/>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Network, speech, or save fails</w:t>
            </w:r>
          </w:p>
        </w:tc>
        <w:tc>
          <w:tcPr>
            <w:tcW w:type="dxa" w:w="7148"/>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Progress is kept and a clear “try again” is shown, and the current step and any edit are never silently lost.</w:t>
            </w:r>
          </w:p>
        </w:tc>
      </w:tr>
      <w:tr>
        <w:trPr>
          <w:cantSplit/>
        </w:trPr>
        <w:tc>
          <w:tcPr>
            <w:tcW w:type="dxa" w:w="2500"/>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spoken correction is misheard</w:t>
            </w:r>
          </w:p>
        </w:tc>
        <w:tc>
          <w:tcPr>
            <w:tcW w:type="dxa" w:w="7148"/>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asks again, and the guard can retry by voice or switch to the manual long-press edit instead. After a few failed attempts at any spoken step, typing is offered, so an accent or a noisy yard cannot lock anyone out.</w:t>
            </w:r>
          </w:p>
        </w:tc>
      </w:tr>
      <w:tr>
        <w:trPr>
          <w:cantSplit/>
        </w:trPr>
        <w:tc>
          <w:tcPr>
            <w:tcW w:type="dxa" w:w="2500"/>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manual edit fails to save</w:t>
            </w:r>
          </w:p>
        </w:tc>
        <w:tc>
          <w:tcPr>
            <w:tcW w:type="dxa" w:w="7148"/>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failure is shown and the guard’s typed text is kept for another try, and the report is never left half-changed.</w:t>
            </w:r>
          </w:p>
        </w:tc>
      </w:tr>
      <w:tr>
        <w:trPr>
          <w:cantSplit/>
        </w:trPr>
        <w:tc>
          <w:tcPr>
            <w:tcW w:type="dxa" w:w="2500"/>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data cannot be safely hidden</w:t>
            </w:r>
          </w:p>
        </w:tc>
        <w:tc>
          <w:tcPr>
            <w:tcW w:type="dxa" w:w="7148"/>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step stops safely, completion is withheld, and the guard stays in the exercise. Only a stage/error code is recorded, never the practice content. If it stays stuck, the guard is released to the home screen with completion unmarked, since being un-onboarded is a reporting problem and being locked out of the app on shift is a safety one.</w:t>
            </w:r>
          </w:p>
        </w:tc>
      </w:tr>
    </w:tbl>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05   </w:t>
      </w:r>
      <w:r>
        <w:rPr>
          <w:rFonts w:ascii="Georgia" w:cs="Georgia" w:eastAsia="Georgia" w:hAnsi="Georgia"/>
          <w:color w:val="3A3A38"/>
          <w:sz w:val="25"/>
          <w:szCs w:val="25"/>
        </w:rPr>
        <w:t xml:space="preserve">Confirm with engineering before building</w:t>
      </w:r>
    </w:p>
    <w:p>
      <w:pPr>
        <w:spacing w:after="60" w:line="252" w:lineRule="auto"/>
      </w:pPr>
      <w:r>
        <w:rPr>
          <w:rFonts w:ascii="Calibri" w:cs="Calibri" w:eastAsia="Calibri" w:hAnsi="Calibri"/>
          <w:b w:val="false"/>
          <w:bCs w:val="false"/>
          <w:i w:val="false"/>
          <w:iCs w:val="false"/>
          <w:color w:val="3A3A38"/>
          <w:sz w:val="19"/>
          <w:szCs w:val="19"/>
        </w:rPr>
        <w:t xml:space="preserve">These depend on how the platform already behaves. They are gathered here to be settled once, up front, and none of them looks like a blocker.</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Does the app already know when a guard signs in for the first time?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Can it be launched on its own, outside whatever normally starts a scenario?</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Is there a practice mode in which neither the conversation nor the report enters live reporting?</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How exactly does the app update an existing report, by voice and by a saved manual edit?</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Which permissions and grant levels does the app need (e.g. location “all the time”), and can it read back permissions, NFC and background tracking to check them rather than asking the guard? Its Location screen already shows a “Permissions needed” status and a settings link, so this partly exists. Can it also stop the phone’s automatic permission removal for unused apps?</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The archive / training flag exists. Confirm which live surfaces the new exclusion filter must cover, and where reports are created so the flag is set at creation.</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Is there already a place to store a guard’s onboarding completion, or must one be added?</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06   </w:t>
      </w:r>
      <w:r>
        <w:rPr>
          <w:rFonts w:ascii="Georgia" w:cs="Georgia" w:eastAsia="Georgia" w:hAnsi="Georgia"/>
          <w:color w:val="3A3A38"/>
          <w:sz w:val="25"/>
          <w:szCs w:val="25"/>
        </w:rPr>
        <w:t xml:space="preserve">Rollout, guardrails, and done</w:t>
      </w:r>
    </w:p>
    <w:p>
      <w:pPr>
        <w:spacing w:after="60" w:line="252" w:lineRule="auto"/>
      </w:pPr>
      <w:r>
        <w:rPr>
          <w:rFonts w:ascii="Calibri" w:cs="Calibri" w:eastAsia="Calibri" w:hAnsi="Calibri"/>
          <w:b w:val="false"/>
          <w:bCs w:val="false"/>
          <w:i w:val="false"/>
          <w:iCs w:val="false"/>
          <w:color w:val="3A3A38"/>
          <w:sz w:val="19"/>
          <w:szCs w:val="19"/>
        </w:rPr>
        <w:t xml:space="preserve">Production go-live is </w:t>
      </w:r>
      <w:r>
        <w:rPr>
          <w:rFonts w:ascii="Calibri" w:cs="Calibri" w:eastAsia="Calibri" w:hAnsi="Calibri"/>
          <w:b/>
          <w:bCs/>
          <w:i w:val="false"/>
          <w:iCs w:val="false"/>
          <w:color w:val="3A3A38"/>
          <w:sz w:val="19"/>
          <w:szCs w:val="19"/>
        </w:rPr>
        <w:t xml:space="preserve">blocked</w:t>
      </w:r>
      <w:r>
        <w:rPr>
          <w:rFonts w:ascii="Calibri" w:cs="Calibri" w:eastAsia="Calibri" w:hAnsi="Calibri"/>
          <w:b w:val="false"/>
          <w:bCs w:val="false"/>
          <w:i w:val="false"/>
          <w:iCs w:val="false"/>
          <w:color w:val="3A3A38"/>
          <w:sz w:val="19"/>
          <w:szCs w:val="19"/>
        </w:rPr>
        <w:t xml:space="preserve"> until the exclusion filter that hides training data from every live surface is built and verified; until then it runs only in DEV/UAT with a dedicated test tenant and test guards. Roll out behind a switch: on gradually, off instantly, and never erasing anyone’s completed status. Universal for all guards, no customer-specific setup, no changes to existing templates.</w:t>
      </w:r>
    </w:p>
    <w:p>
      <w:pPr>
        <w:pStyle w:val="Heading2"/>
        <w:keepNext/>
        <w:spacing w:after="60" w:before="160"/>
      </w:pPr>
      <w:r>
        <w:rPr>
          <w:rFonts w:ascii="Georgia" w:cs="Georgia" w:eastAsia="Georgia" w:hAnsi="Georgia"/>
          <w:b/>
          <w:bCs/>
          <w:color w:val="2E3A44"/>
          <w:sz w:val="20"/>
          <w:szCs w:val="20"/>
        </w:rPr>
        <w:t xml:space="preserve">DONE MEANS</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A guard, new or existing, is shown the exercise once, completes it by doing the real steps, and lands on the home screen; reopening later keeps their completed status.</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The exclusion filter is built, the practice report is proven absent from every live surface, and a forced hide-failure withholds completion.</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The confirm-with-engineering items are answered and Vincent Smeyers has signed off.</w:t>
      </w:r>
    </w:p>
    <w:p>
      <w:pPr>
        <w:pBdr>
          <w:top w:val="single" w:color="E6E4DF" w:sz="5" w:space="5"/>
        </w:pBdr>
        <w:spacing w:before="90"/>
      </w:pPr>
      <w:r>
        <w:rPr>
          <w:rFonts w:ascii="Calibri" w:cs="Calibri" w:eastAsia="Calibri" w:hAnsi="Calibri"/>
          <w:b w:val="false"/>
          <w:bCs w:val="false"/>
          <w:i/>
          <w:iCs/>
          <w:color w:val="77746E"/>
          <w:sz w:val="16"/>
          <w:szCs w:val="16"/>
        </w:rPr>
        <w:t xml:space="preserve">Internal build and testing only. No production change until Vincent Smeyers has signed off.</w:t>
      </w:r>
    </w:p>
    <w:sectPr>
      <w:headerReference w:type="default" r:id="rId7"/>
      <w:footerReference w:type="default" r:id="rId8"/>
      <w:pgSz w:w="12240" w:h="15840"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E4DF" w:sz="3" w:space="3"/>
      </w:pBdr>
      <w:tabs>
        <w:tab w:val="right" w:pos="9648"/>
      </w:tabs>
      <w:spacing w:before="0"/>
    </w:pPr>
    <w:r>
      <w:rPr>
        <w:rFonts w:ascii="Calibri" w:cs="Calibri" w:eastAsia="Calibri" w:hAnsi="Calibri"/>
        <w:b w:val="false"/>
        <w:bCs w:val="false"/>
        <w:i w:val="false"/>
        <w:iCs w:val="false"/>
        <w:color w:val="77746E"/>
        <w:sz w:val="15"/>
        <w:szCs w:val="15"/>
      </w:rPr>
      <w:t xml:space="preserve">Confidential — Pronect internal</w:t>
    </w:r>
    <w:r>
      <w:rPr>
        <w:rFonts w:ascii="Calibri" w:cs="Calibri" w:eastAsia="Calibri" w:hAnsi="Calibri"/>
        <w:color w:val="77746E"/>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E4DF" w:sz="3" w:space="3"/>
      </w:pBdr>
      <w:tabs>
        <w:tab w:val="right" w:pos="9648"/>
      </w:tabs>
      <w:spacing w:after="0"/>
    </w:pPr>
    <w:r>
      <w:rPr>
        <w:rFonts w:ascii="Calibri" w:cs="Calibri" w:eastAsia="Calibri" w:hAnsi="Calibri"/>
        <w:b w:val="false"/>
        <w:bCs w:val="false"/>
        <w:i w:val="false"/>
        <w:iCs w:val="false"/>
        <w:color w:val="77746E"/>
        <w:sz w:val="15"/>
        <w:szCs w:val="15"/>
      </w:rPr>
      <w:t xml:space="preserve">SAM OnSite — Guard Onboarding</w:t>
    </w:r>
    <w:r>
      <w:rPr>
        <w:rFonts w:ascii="Calibri" w:cs="Calibri" w:eastAsia="Calibri" w:hAnsi="Calibri"/>
        <w:sz w:val="15"/>
        <w:szCs w:val="15"/>
      </w:rPr>
      <w:tab/>
    </w:r>
    <w:r>
      <w:rPr>
        <w:rFonts w:ascii="Calibri" w:cs="Calibri" w:eastAsia="Calibri" w:hAnsi="Calibri"/>
        <w:b w:val="false"/>
        <w:bCs w:val="false"/>
        <w:i w:val="false"/>
        <w:iCs w:val="false"/>
        <w:color w:val="77746E"/>
        <w:sz w:val="15"/>
        <w:szCs w:val="15"/>
      </w:rPr>
      <w:t xml:space="preserve">MVP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3"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4" w15:restartNumberingAfterBreak="0">
    <w:multiLevelType w:val="hybridMultilevel"/>
    <w:lvl w:ilvl="0" w15:tentative="1">
      <w:start w:val="1"/>
      <w:numFmt w:val="decimal"/>
      <w:lvlText w:val="%1."/>
      <w:lvlJc w:val="left"/>
      <w:pPr>
        <w:ind w:left="400" w:hanging="260"/>
      </w:pPr>
      <w:rPr>
        <w:rFonts w:ascii="Calibri" w:cs="Calibri" w:eastAsia="Calibri" w:hAnsi="Calibri"/>
        <w:b/>
        <w:bCs/>
        <w:color w:val="4A6B82"/>
        <w:sz w:val="19"/>
        <w:szCs w:val="19"/>
      </w:r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3A3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A3A38"/>
      <w:sz w:val="24"/>
      <w:szCs w:val="24"/>
    </w:rPr>
  </w:style>
  <w:style w:type="paragraph" w:styleId="Heading2">
    <w:name w:val="Heading 2"/>
    <w:basedOn w:val="Normal"/>
    <w:next w:val="Normal"/>
    <w:qFormat/>
    <w:rPr>
      <w:rFonts w:ascii="Calibri" w:cs="Calibri" w:eastAsia="Calibri" w:hAnsi="Calibri"/>
      <w:b/>
      <w:bCs/>
      <w:color w:val="2E3A44"/>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OnSite — Guard Onboarding (MVP specification)</dc:title>
  <dc:creator>Pronect</dc:creator>
  <dc:description>Guard onboarding MVP specification</dc:description>
  <cp:lastModifiedBy>Un-named</cp:lastModifiedBy>
  <cp:revision>1</cp:revision>
  <dcterms:created xsi:type="dcterms:W3CDTF">2026-07-31T10:14:35.614Z</dcterms:created>
  <dcterms:modified xsi:type="dcterms:W3CDTF">2026-07-31T10:14:35.614Z</dcterms:modified>
</cp:coreProperties>
</file>

<file path=docProps/custom.xml><?xml version="1.0" encoding="utf-8"?>
<Properties xmlns="http://schemas.openxmlformats.org/officeDocument/2006/custom-properties" xmlns:vt="http://schemas.openxmlformats.org/officeDocument/2006/docPropsVTypes"/>
</file>