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16"/>
        </w:rPr>
        <w:t>SYNTHETIC DATA - simulation. Entity, people, systems and records are fictional.</w:t>
      </w:r>
    </w:p>
    <w:p>
      <w:pPr>
        <w:pStyle w:val="Title"/>
      </w:pPr>
      <w:r>
        <w:rPr>
          <w:color w:val="1F3864"/>
          <w:sz w:val="36"/>
        </w:rPr>
        <w:t>Workpaper WP-CM-02: Documented rollback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Entity / Period</w:t>
            </w:r>
          </w:p>
        </w:tc>
        <w:tc>
          <w:tcPr>
            <w:tcW w:type="dxa" w:w="5040"/>
          </w:tcPr>
          <w:p>
            <w:r>
              <w:t>Meridian Financial Group (fictional) / FY2025 (01 Jan 2025 - 31 Dec 2025)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ID / Domain</w:t>
            </w:r>
          </w:p>
        </w:tc>
        <w:tc>
          <w:tcPr>
            <w:tcW w:type="dxa" w:w="5040"/>
          </w:tcPr>
          <w:p>
            <w:r>
              <w:t>ITGC-CM-02 / Change Management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Control owner</w:t>
            </w:r>
          </w:p>
        </w:tc>
        <w:tc>
          <w:tcPr>
            <w:tcW w:type="dxa" w:w="5040"/>
          </w:tcPr>
          <w:p>
            <w:r>
              <w:t>Change Manager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Frequency / Type / Nature</w:t>
            </w:r>
          </w:p>
        </w:tc>
        <w:tc>
          <w:tcPr>
            <w:tcW w:type="dxa" w:w="5040"/>
          </w:tcPr>
          <w:p>
            <w:r>
              <w:t>As needed (per event) / Preventive / Manual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Key control</w:t>
            </w:r>
          </w:p>
        </w:tc>
        <w:tc>
          <w:tcPr>
            <w:tcW w:type="dxa" w:w="5040"/>
          </w:tcPr>
          <w:p>
            <w:r>
              <w:t>No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Risk addressed</w:t>
            </w:r>
          </w:p>
        </w:tc>
        <w:tc>
          <w:tcPr>
            <w:tcW w:type="dxa" w:w="5040"/>
          </w:tcPr>
          <w:p>
            <w:r>
              <w:t>R-05 - Failed changes cannot be reversed (inherent severity 6 - Medium)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Prepared by / date</w:t>
            </w:r>
          </w:p>
        </w:tc>
        <w:tc>
          <w:tcPr>
            <w:tcW w:type="dxa" w:w="5040"/>
          </w:tcPr>
          <w:p>
            <w:r>
              <w:t>SOX ITGC Tester (simulation) / 30 Jan 2026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Reviewed by / date</w:t>
            </w:r>
          </w:p>
        </w:tc>
        <w:tc>
          <w:tcPr>
            <w:tcW w:type="dxa" w:w="5040"/>
          </w:tcPr>
          <w:p>
            <w:r>
              <w:t>Pending reviewer sign-off</w:t>
            </w:r>
          </w:p>
        </w:tc>
      </w:tr>
    </w:tbl>
    <w:p>
      <w:pPr>
        <w:pStyle w:val="Heading1"/>
      </w:pPr>
      <w:r>
        <w:rPr>
          <w:color w:val="1F3864"/>
        </w:rPr>
        <w:t>1. Control Objective</w:t>
      </w:r>
    </w:p>
    <w:p>
      <w:r>
        <w:t>To address the risk that production changes are implemented without a documented back-out (rollback) plan, so a failed change causes prolonged processing outages or corrupted financial data that cannot be restored reliably.</w:t>
      </w:r>
    </w:p>
    <w:p>
      <w:r>
        <w:t>Control description (per RCM): Every production change record includes a documented back-out (rollback) plan, reviewed by the CAB as part of change approval.</w:t>
      </w:r>
    </w:p>
    <w:p>
      <w:pPr>
        <w:pStyle w:val="Heading1"/>
      </w:pPr>
      <w:r>
        <w:rPr>
          <w:color w:val="1F3864"/>
        </w:rPr>
        <w:t>2. Population</w:t>
      </w:r>
    </w:p>
    <w:p>
      <w:r>
        <w:t>Source: data/change_log.csv (changes implemented in FY2025). In-scope population tested: 620 items.</w:t>
      </w:r>
    </w:p>
    <w:p>
      <w:r>
        <w:t>Completeness and accuracy of the information produced by the entity (IPE) were evaluated before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Source record count</w:t>
            </w:r>
          </w:p>
        </w:tc>
        <w:tc>
          <w:tcPr>
            <w:tcW w:type="dxa" w:w="5040"/>
          </w:tcPr>
          <w:p>
            <w:r>
              <w:t>620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Duplicate record keys</w:t>
            </w:r>
          </w:p>
        </w:tc>
        <w:tc>
          <w:tcPr>
            <w:tcW w:type="dxa" w:w="5040"/>
          </w:tcPr>
          <w:p>
            <w:r>
              <w:t>0 (key: change_id)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Date range of key field</w:t>
            </w:r>
          </w:p>
        </w:tc>
        <w:tc>
          <w:tcPr>
            <w:tcW w:type="dxa" w:w="5040"/>
          </w:tcPr>
          <w:p>
            <w:r>
              <w:t>2025-01-08 to 2025-12-31</w:t>
            </w:r>
          </w:p>
        </w:tc>
      </w:tr>
    </w:tbl>
    <w:p>
      <w:pPr>
        <w:pStyle w:val="Heading1"/>
      </w:pPr>
      <w:r>
        <w:rPr>
          <w:color w:val="1F3864"/>
        </w:rPr>
        <w:t>3. Sample / Testing Approach</w:t>
      </w:r>
    </w:p>
    <w:p>
      <w:r>
        <w:t>The full population (620 items) was tested with computer-assisted audit techniques rather than a sample. For a control that operates as needed (per event), a traditional attribute sample would typically be 25 to 60 items. Testing 100% of the population removes sampling risk, so every deviation is identified and none has to be extrapolated.</w:t>
      </w:r>
    </w:p>
    <w:p>
      <w:r>
        <w:t>The test logic was implemented twice, in Python/pandas (src/phase3_test_controls.py) and in SQL (sql/), and the two exception sets were reconciled record-by-record: agreed (22 SQL vs 22 pandas).</w:t>
      </w:r>
    </w:p>
    <w:p>
      <w:pPr>
        <w:pStyle w:val="Heading1"/>
      </w:pPr>
      <w:r>
        <w:rPr>
          <w:color w:val="1F3864"/>
        </w:rPr>
        <w:t>4. Procedures Performed</w:t>
      </w:r>
    </w:p>
    <w:p>
      <w:r>
        <w:t>Test attribute / exception definition: Rollback plan field indicates a documented plan exists.</w:t>
      </w:r>
    </w:p>
    <w:p>
      <w:pPr>
        <w:pStyle w:val="ListNumber"/>
      </w:pPr>
      <w:r>
        <w:t>Normalize the rollback-plan indicator (Yes/Y/yes/No/N) and flag changes without a documented rollback plan.</w:t>
      </w:r>
    </w:p>
    <w:p>
      <w:pPr>
        <w:pStyle w:val="ListNumber"/>
      </w:pPr>
      <w:r>
        <w:t>Each exception was traced to its source record ID (listed below) for follow-up with the control owner.</w:t>
      </w:r>
    </w:p>
    <w:p>
      <w:pPr>
        <w:pStyle w:val="Heading1"/>
      </w:pPr>
      <w:r>
        <w:rPr>
          <w:color w:val="1F3864"/>
        </w:rPr>
        <w:t>5.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Items tested</w:t>
            </w:r>
          </w:p>
        </w:tc>
        <w:tc>
          <w:tcPr>
            <w:tcW w:type="dxa" w:w="5040"/>
          </w:tcPr>
          <w:p>
            <w:r>
              <w:t>620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identified</w:t>
            </w:r>
          </w:p>
        </w:tc>
        <w:tc>
          <w:tcPr>
            <w:tcW w:type="dxa" w:w="5040"/>
          </w:tcPr>
          <w:p>
            <w:r>
              <w:t>22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 rate</w:t>
            </w:r>
          </w:p>
        </w:tc>
        <w:tc>
          <w:tcPr>
            <w:tcW w:type="dxa" w:w="5040"/>
          </w:tcPr>
          <w:p>
            <w:r>
              <w:t>3.55%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Distinct employees involved</w:t>
            </w:r>
          </w:p>
        </w:tc>
        <w:tc>
          <w:tcPr>
            <w:tcW w:type="dxa" w:w="5040"/>
          </w:tcPr>
          <w:p>
            <w:r>
              <w:t>18</w:t>
            </w:r>
          </w:p>
        </w:tc>
      </w:tr>
      <w:tr>
        <w:tc>
          <w:tcPr>
            <w:tcW w:type="dxa" w:w="5040"/>
            <w:shd w:val="clear" w:color="auto" w:fill="DCE3EE"/>
          </w:tcPr>
          <w:p>
            <w:r>
              <w:rPr>
                <w:b/>
              </w:rPr>
              <w:t>Exceptions still open at as-of date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</w:tbl>
    <w:p/>
    <w:p>
      <w:pPr>
        <w:pStyle w:val="ListBullet"/>
      </w:pPr>
      <w:r>
        <w:t>Exceptions by system: LSP 10, GL01 7, FCR 3, TMS 2.</w:t>
      </w:r>
    </w:p>
    <w:p>
      <w:pPr>
        <w:pStyle w:val="ListBullet"/>
      </w:pPr>
      <w:r>
        <w:t>By change type: Normal 15, Standard 7.</w:t>
      </w:r>
    </w:p>
    <w:p>
      <w:pPr>
        <w:pStyle w:val="ListBullet"/>
      </w:pPr>
      <w:r>
        <w:t>By quarter of occurrence: 2025Q1 2, 2025Q2 5, 2025Q3 11, 2025Q4 4 - exceptions recur across the year, indicating a design/process gap rather than a one-off lapse.</w:t>
      </w:r>
    </w:p>
    <w:p>
      <w:r>
        <w:rPr>
          <w:b/>
        </w:rPr>
        <w:t>Exception listing (22 items; also in outputs/exceptions/ITGC-CM-02_exceptions.csv):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 ID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Source record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Employee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System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Event date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Required by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Actual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Exception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shd w:val="clear" w:color="auto" w:fill="1F3864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CHG0030034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2025-01-28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CHG0030097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E10932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2025-02-28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CHG0030166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E11240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CHG0030170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2025-04-07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CHG0030240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E10269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CHG0030251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E11161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2025-05-23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CHG0030269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E10163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2025-06-04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CHG0030349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EX-CM-02-009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CHG0030353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E10821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2025-07-29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CHG0030370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E11161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2025-08-05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E10427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CHG0030388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E10345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TMS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CHG0030390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E10788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CHG0030395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E10087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2025-08-18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E10153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E10914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2025-09-04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EX-CM-02-017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CHG0030454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E10163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CHG0030456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E10990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FCR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2025-09-24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EX-CM-02-019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CHG0030500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E10076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2025-10-20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EX-CM-02-020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CHG0030548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E10666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2025-11-12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EX-CM-02-021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CHG0030565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E10642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GL01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2025-11-24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  <w:tr>
        <w:tc>
          <w:tcPr>
            <w:tcW w:type="dxa" w:w="1008"/>
          </w:tcPr>
          <w:p>
            <w:r>
              <w:rPr>
                <w:sz w:val="15"/>
              </w:rPr>
              <w:t>EX-CM-02-022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CHG0030579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E10933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LSP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2025-12-02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No documented rollback plan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Closed</w:t>
            </w:r>
          </w:p>
        </w:tc>
        <w:tc>
          <w:tcPr>
            <w:tcW w:type="dxa" w:w="1008"/>
          </w:tcPr>
          <w:p>
            <w:r>
              <w:rPr>
                <w:sz w:val="15"/>
              </w:rP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6. Conclusion</w:t>
      </w:r>
    </w:p>
    <w:p>
      <w:r>
        <w:rPr>
          <w:b/>
          <w:color w:val="C00000"/>
        </w:rPr>
        <w:t xml:space="preserve">EXCEPTION NOTED: </w:t>
      </w:r>
      <w:r>
        <w:t>22 exceptions were identified in 620 items (3.55%). Because the full population was tested, these are actual deviations, not projections, and the control did not operate effectively throughout FY2025. Deficiency assessment: Control deficiency. Final severity must consider compensating controls and aggregation with other deficiencies affecting the same risk and assertions.</w:t>
      </w:r>
    </w:p>
    <w:p>
      <w:pPr>
        <w:pStyle w:val="Heading1"/>
      </w:pPr>
      <w:r>
        <w:rPr>
          <w:color w:val="1F3864"/>
        </w:rPr>
        <w:t>7. Remediation Recommendations</w:t>
      </w:r>
    </w:p>
    <w:p>
      <w:pPr>
        <w:pStyle w:val="ListBullet"/>
      </w:pPr>
      <w:r>
        <w:t>Make the rollback-plan field mandatory (with attachment) in the change ticket template before CAB submission.</w:t>
      </w:r>
    </w:p>
    <w:p>
      <w:pPr>
        <w:pStyle w:val="ListBullet"/>
      </w:pPr>
      <w:r>
        <w:t>Standardize the field to a controlled Yes/No value to eliminate free-text variants.</w:t>
      </w:r>
    </w:p>
    <w:p>
      <w:r>
        <w:t>Management response and target date: [to be obtained from control owner]</w:t>
      </w:r>
    </w:p>
    <w:p>
      <w:pPr>
        <w:pStyle w:val="Heading2"/>
      </w:pPr>
      <w:r>
        <w:rPr>
          <w:color w:val="1F3864"/>
        </w:rPr>
        <w:t>Appendix - Test-logic validation (simulation only)</w:t>
      </w:r>
    </w:p>
    <w:p>
      <w:r>
        <w:t>After testing was complete, results were compared to the independently stored answer key of seeded exceptions (answer_key/seeded_exceptions.csv): 22 of 22 seeded exceptions detected, 0 unexpected. The answer key was not an input to testing.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DATA - for demonstration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Meridian Financial Group (fictional) | FY2025 SOX ITGC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