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16"/>
        </w:rPr>
        <w:t>SYNTHETIC DATA - simulation. Entity, people, systems and records are fictional.</w:t>
      </w:r>
    </w:p>
    <w:p>
      <w:pPr>
        <w:pStyle w:val="Title"/>
      </w:pPr>
      <w:r>
        <w:rPr>
          <w:color w:val="1F3864"/>
          <w:sz w:val="36"/>
        </w:rPr>
        <w:t>Workpaper WP-UA-02: Timely revocation of terminated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Entity / Period</w:t>
            </w:r>
          </w:p>
        </w:tc>
        <w:tc>
          <w:tcPr>
            <w:tcW w:type="dxa" w:w="5040"/>
          </w:tcPr>
          <w:p>
            <w:r>
              <w:t>Meridian Financial Group (fictional) / FY2025 (01 Jan 2025 - 31 Dec 2025)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Control ID / Domain</w:t>
            </w:r>
          </w:p>
        </w:tc>
        <w:tc>
          <w:tcPr>
            <w:tcW w:type="dxa" w:w="5040"/>
          </w:tcPr>
          <w:p>
            <w:r>
              <w:t>ITGC-UA-02 / User Access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Control owner</w:t>
            </w:r>
          </w:p>
        </w:tc>
        <w:tc>
          <w:tcPr>
            <w:tcW w:type="dxa" w:w="5040"/>
          </w:tcPr>
          <w:p>
            <w:r>
              <w:t>IT Access Manager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Frequency / Type / Nature</w:t>
            </w:r>
          </w:p>
        </w:tc>
        <w:tc>
          <w:tcPr>
            <w:tcW w:type="dxa" w:w="5040"/>
          </w:tcPr>
          <w:p>
            <w:r>
              <w:t>As needed (per event) / Preventive / IT-dependent manual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Key control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Risk addressed</w:t>
            </w:r>
          </w:p>
        </w:tc>
        <w:tc>
          <w:tcPr>
            <w:tcW w:type="dxa" w:w="5040"/>
          </w:tcPr>
          <w:p>
            <w:r>
              <w:t>R-02 - Terminated users retain system access (inherent severity 15 - Critical)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Prepared by / date</w:t>
            </w:r>
          </w:p>
        </w:tc>
        <w:tc>
          <w:tcPr>
            <w:tcW w:type="dxa" w:w="5040"/>
          </w:tcPr>
          <w:p>
            <w:r>
              <w:t>SOX ITGC Tester (simulation) / 30 Jan 2026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Reviewed by / date</w:t>
            </w:r>
          </w:p>
        </w:tc>
        <w:tc>
          <w:tcPr>
            <w:tcW w:type="dxa" w:w="5040"/>
          </w:tcPr>
          <w:p>
            <w:r>
              <w:t>Pending reviewer sign-off</w:t>
            </w:r>
          </w:p>
        </w:tc>
      </w:tr>
    </w:tbl>
    <w:p>
      <w:pPr>
        <w:pStyle w:val="Heading1"/>
      </w:pPr>
      <w:r>
        <w:rPr>
          <w:color w:val="1F3864"/>
        </w:rPr>
        <w:t>1. Control Objective</w:t>
      </w:r>
    </w:p>
    <w:p>
      <w:r>
        <w:t>To address the risk that access for terminated employees and contractors is not removed timely, allowing former personnel (or others using their credentials) to initiate or approve transactions after separation.</w:t>
      </w:r>
    </w:p>
    <w:p>
      <w:r>
        <w:t>Control description (per RCM): Upon notification of a separation, IT Access Management removes all application access for the terminated user within five (5) business days of the termination date.</w:t>
      </w:r>
    </w:p>
    <w:p>
      <w:pPr>
        <w:pStyle w:val="Heading1"/>
      </w:pPr>
      <w:r>
        <w:rPr>
          <w:color w:val="1F3864"/>
        </w:rPr>
        <w:t>2. Population</w:t>
      </w:r>
    </w:p>
    <w:p>
      <w:r>
        <w:t>Source: data/termination_log.csv joined to data/user_access_log.csv. In-scope population tested: 392 items.</w:t>
      </w:r>
    </w:p>
    <w:p>
      <w:r>
        <w:t>Completeness and accuracy of the information produced by the entity (IPE) were evaluated before testing: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Source record count</w:t>
            </w:r>
          </w:p>
        </w:tc>
        <w:tc>
          <w:tcPr>
            <w:tcW w:type="dxa" w:w="5040"/>
          </w:tcPr>
          <w:p>
            <w:r>
              <w:t>185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Duplicate record keys</w:t>
            </w:r>
          </w:p>
        </w:tc>
        <w:tc>
          <w:tcPr>
            <w:tcW w:type="dxa" w:w="5040"/>
          </w:tcPr>
          <w:p>
            <w:r>
              <w:t>0 (key: employee_id)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Date range of key field</w:t>
            </w:r>
          </w:p>
        </w:tc>
        <w:tc>
          <w:tcPr>
            <w:tcW w:type="dxa" w:w="5040"/>
          </w:tcPr>
          <w:p>
            <w:r>
              <w:t>2025-01-02 to 2025-12-19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Employee IDs not on HR roster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</w:tbl>
    <w:p>
      <w:pPr>
        <w:pStyle w:val="Heading1"/>
      </w:pPr>
      <w:r>
        <w:rPr>
          <w:color w:val="1F3864"/>
        </w:rPr>
        <w:t>3. Sample / Testing Approach</w:t>
      </w:r>
    </w:p>
    <w:p>
      <w:r>
        <w:t>The full population (392 items) was tested with computer-assisted audit techniques rather than a sample. For a control that operates as needed (per event), a traditional attribute sample would typically be 25 to 60 items. Testing 100% of the population removes sampling risk, so every deviation is identified and none has to be extrapolated.</w:t>
      </w:r>
    </w:p>
    <w:p>
      <w:r>
        <w:t>The test logic was implemented twice, in Python/pandas (src/phase3_test_controls.py) and in SQL (sql/), and the two exception sets were reconciled record-by-record: agreed (20 SQL vs 20 pandas).</w:t>
      </w:r>
    </w:p>
    <w:p>
      <w:pPr>
        <w:pStyle w:val="Heading1"/>
      </w:pPr>
      <w:r>
        <w:rPr>
          <w:color w:val="1F3864"/>
        </w:rPr>
        <w:t>4. Procedures Performed</w:t>
      </w:r>
    </w:p>
    <w:p>
      <w:r>
        <w:t>Test attribute / exception definition: Every grant held at the termination date ends within 5 business days after it.</w:t>
      </w:r>
    </w:p>
    <w:p>
      <w:pPr>
        <w:pStyle w:val="ListNumber"/>
      </w:pPr>
      <w:r>
        <w:t>Obtain the HR termination listing for FY2025 and the access log</w:t>
      </w:r>
    </w:p>
    <w:p>
      <w:pPr>
        <w:pStyle w:val="ListNumber"/>
      </w:pPr>
      <w:r>
        <w:t>For each terminated employee identify all grants active at the termination date</w:t>
      </w:r>
    </w:p>
    <w:p>
      <w:pPr>
        <w:pStyle w:val="ListNumber"/>
      </w:pPr>
      <w:r>
        <w:t>Compute business days from termination to access end date</w:t>
      </w:r>
    </w:p>
    <w:p>
      <w:pPr>
        <w:pStyle w:val="ListNumber"/>
      </w:pPr>
      <w:r>
        <w:t>Flag grants revoked after the SLA or still active at the as-of date.</w:t>
      </w:r>
    </w:p>
    <w:p>
      <w:pPr>
        <w:pStyle w:val="ListNumber"/>
      </w:pPr>
      <w:r>
        <w:t>Each exception was traced to its source record ID (listed below) for follow-up with the control owner.</w:t>
      </w:r>
    </w:p>
    <w:p>
      <w:pPr>
        <w:pStyle w:val="Heading1"/>
      </w:pPr>
      <w:r>
        <w:rPr>
          <w:color w:val="1F3864"/>
        </w:rPr>
        <w:t>5.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Items tested</w:t>
            </w:r>
          </w:p>
        </w:tc>
        <w:tc>
          <w:tcPr>
            <w:tcW w:type="dxa" w:w="5040"/>
          </w:tcPr>
          <w:p>
            <w:r>
              <w:t>392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Exceptions identified</w:t>
            </w:r>
          </w:p>
        </w:tc>
        <w:tc>
          <w:tcPr>
            <w:tcW w:type="dxa" w:w="5040"/>
          </w:tcPr>
          <w:p>
            <w:r>
              <w:t>20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 rate</w:t>
            </w:r>
          </w:p>
        </w:tc>
        <w:tc>
          <w:tcPr>
            <w:tcW w:type="dxa" w:w="5040"/>
          </w:tcPr>
          <w:p>
            <w:r>
              <w:t>5.10%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Distinct employees involved</w:t>
            </w:r>
          </w:p>
        </w:tc>
        <w:tc>
          <w:tcPr>
            <w:tcW w:type="dxa" w:w="5040"/>
          </w:tcPr>
          <w:p>
            <w:r>
              <w:t>14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Exceptions still open at as-of date</w:t>
            </w:r>
          </w:p>
        </w:tc>
        <w:tc>
          <w:tcPr>
            <w:tcW w:type="dxa" w:w="5040"/>
          </w:tcPr>
          <w:p>
            <w:r>
              <w:t>11</w:t>
            </w:r>
          </w:p>
        </w:tc>
      </w:tr>
    </w:tbl>
    <w:p/>
    <w:p>
      <w:pPr>
        <w:pStyle w:val="ListBullet"/>
      </w:pPr>
      <w:r>
        <w:t>Exceptions by system: LSP 9, GL01 4, FCR 4, TMS 3.</w:t>
      </w:r>
    </w:p>
    <w:p>
      <w:pPr>
        <w:pStyle w:val="ListBullet"/>
      </w:pPr>
      <w:r>
        <w:t>11 of the 20 exception grants, belonging to 5 former employees, were still active at the 30 Jan 2026 as-of date (14 employees affected in total).</w:t>
      </w:r>
    </w:p>
    <w:p>
      <w:pPr>
        <w:pStyle w:val="ListBullet"/>
      </w:pPr>
      <w:r>
        <w:t>Late revocations were completed a median of 11 and a maximum of 16 business days beyond the 5-day SLA.</w:t>
      </w:r>
    </w:p>
    <w:p>
      <w:pPr>
        <w:pStyle w:val="ListBullet"/>
      </w:pPr>
      <w:r>
        <w:t>6 of 14 affected employees also had a late HR separation notice (ITGC-UA-03 exception), which points to the HR-to-IT hand-off as a root cause.</w:t>
      </w:r>
    </w:p>
    <w:p>
      <w:pPr>
        <w:pStyle w:val="ListBullet"/>
      </w:pPr>
      <w:r>
        <w:t>By quarter of occurrence: 2025Q1 5, 2025Q3 8, 2025Q4 7 - exceptions recur across the year, indicating a design/process gap rather than a one-off lapse.</w:t>
      </w:r>
    </w:p>
    <w:p>
      <w:r>
        <w:rPr>
          <w:b/>
        </w:rPr>
        <w:t>Exception listing (20 items; also in outputs/exceptions/ITGC-UA-02_exceptions.csv):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Exc ID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Source record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Employee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System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Event date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Required by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Actual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Exception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EX-UA-02-001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G201578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E10622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2025-01-14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2025-01-22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Access still active at as-of date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Critical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EX-UA-02-002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G200644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E10674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2025-02-06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2025-02-13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2025-02-14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Access revoked after SLA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EX-UA-02-003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G200515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E10856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2025-03-12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2025-04-02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Access revoked after SLA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EX-UA-02-004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G200612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E10271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TMS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2025-03-12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2025-03-21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Access revoked after SLA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EX-UA-02-005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G201120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E11237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2025-03-19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2025-03-26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2025-04-17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Access revoked after SLA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EX-UA-02-006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G201351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E11235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2025-08-04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2025-08-11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2025-08-27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Access revoked after SLA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EX-UA-02-007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G201283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E10899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2025-08-28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Access still active at as-of date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EX-UA-02-008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G201285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E10899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TMS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2025-08-28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Access still active at as-of date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EX-UA-02-009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G201286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E10899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2025-08-28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Access still active at as-of date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EX-UA-02-010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G201470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E10899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TMS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2025-08-28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Access still active at as-of date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EX-UA-02-011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G202305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E10899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2025-08-28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Access still active at as-of date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EX-UA-02-012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G202322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E10899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2025-08-28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Access still active at as-of date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EX-UA-02-013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G200092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E10079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2025-08-29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2025-09-08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2025-09-29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Access revoked after SLA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EX-UA-02-014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G201786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E10846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2025-10-09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2025-10-16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Access still active at as-of date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EX-UA-02-015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G202447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E10846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2025-10-09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2025-10-16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Access still active at as-of date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EX-UA-02-016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G200768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E11203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2025-10-10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2025-10-17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2025-10-27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Access revoked after SLA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EX-UA-02-017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G200622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E10767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2025-10-29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2025-11-10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Access revoked after SLA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EX-UA-02-018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G200387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E10987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2025-11-06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Access still active at as-of date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EX-UA-02-019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G201198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E10406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2025-12-02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2025-12-09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2025-12-24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Access revoked after SLA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EX-UA-02-020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G201391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E10258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2025-12-09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2025-12-16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Access still active at as-of date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</w:tbl>
    <w:p>
      <w:pPr>
        <w:pStyle w:val="Heading1"/>
      </w:pPr>
      <w:r>
        <w:rPr>
          <w:color w:val="1F3864"/>
        </w:rPr>
        <w:t>6. Conclusion</w:t>
      </w:r>
    </w:p>
    <w:p>
      <w:r>
        <w:rPr>
          <w:b/>
          <w:color w:val="C00000"/>
        </w:rPr>
        <w:t xml:space="preserve">EXCEPTION NOTED: </w:t>
      </w:r>
      <w:r>
        <w:t>20 exceptions were identified in 392 items (5.10%). Because the full population was tested, these are actual deviations, not projections, and the control did not operate effectively throughout FY2025. Deficiency assessment: Deficiency - evaluate for significant deficiency (aggregation &amp; compensating controls). Final severity must consider compensating controls and aggregation with other deficiencies affecting the same risk and assertions.</w:t>
      </w:r>
    </w:p>
    <w:p>
      <w:pPr>
        <w:pStyle w:val="Heading1"/>
      </w:pPr>
      <w:r>
        <w:rPr>
          <w:color w:val="1F3864"/>
        </w:rPr>
        <w:t>7. Remediation Recommendations</w:t>
      </w:r>
    </w:p>
    <w:p>
      <w:pPr>
        <w:pStyle w:val="ListBullet"/>
      </w:pPr>
      <w:r>
        <w:t>Immediately disable all accounts still active for terminated users and review their activity after the termination date for unauthorized transactions.</w:t>
      </w:r>
    </w:p>
    <w:p>
      <w:pPr>
        <w:pStyle w:val="ListBullet"/>
      </w:pPr>
      <w:r>
        <w:t>Automate deprovisioning from the HR system of record (termination event -&gt; account disable) to remove the manual hand-off.</w:t>
      </w:r>
    </w:p>
    <w:p>
      <w:pPr>
        <w:pStyle w:val="ListBullet"/>
      </w:pPr>
      <w:r>
        <w:t>Introduce a weekly reconciliation of the HR termination report to active accounts in each in-scope application as a detective backstop.</w:t>
      </w:r>
    </w:p>
    <w:p>
      <w:r>
        <w:t>Management response and target date: [to be obtained from control owner]</w:t>
      </w:r>
    </w:p>
    <w:p>
      <w:pPr>
        <w:pStyle w:val="Heading2"/>
      </w:pPr>
      <w:r>
        <w:rPr>
          <w:color w:val="1F3864"/>
        </w:rPr>
        <w:t>Appendix - Test-logic validation (simulation only)</w:t>
      </w:r>
    </w:p>
    <w:p>
      <w:r>
        <w:t>After testing was complete, results were compared to the independently stored answer key of seeded exceptions (answer_key/seeded_exceptions.csv): 20 of 20 seeded exceptions detected, 0 unexpected. The answer key was not an input to testing.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DATA - for demonstration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Meridian Financial Group (fictional) | FY2025 SOX ITGC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