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</w:rPr>
        <w:t>FY2025 ITGC Testing Summary Memo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To</w:t>
            </w:r>
          </w:p>
        </w:tc>
        <w:tc>
          <w:tcPr>
            <w:tcW w:type="dxa" w:w="5040"/>
          </w:tcPr>
          <w:p>
            <w:r>
              <w:t>SOX Compliance Office (simulation)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From</w:t>
            </w:r>
          </w:p>
        </w:tc>
        <w:tc>
          <w:tcPr>
            <w:tcW w:type="dxa" w:w="5040"/>
          </w:tcPr>
          <w:p>
            <w:r>
              <w:t>ITGC Testing Team (simulation)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30 January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5040"/>
          </w:tcPr>
          <w:p>
            <w:r>
              <w:t>9 ITGCs across 3 domains; 4 in-scope financial applications</w:t>
            </w:r>
          </w:p>
        </w:tc>
      </w:tr>
    </w:tbl>
    <w:p>
      <w:pPr>
        <w:pStyle w:val="Heading1"/>
      </w:pPr>
      <w:r>
        <w:rPr>
          <w:color w:val="1F3864"/>
        </w:rPr>
        <w:t>Overall Results</w:t>
      </w:r>
    </w:p>
    <w:p>
      <w:r>
        <w:t>2 of 9 controls operated effectively. 7 controls had exceptions, 124 in total, of which 16 were still open at the as-of date. All populations were tested in full, and the pandas and SQL implementations agreed on every exception.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control_id</w:t>
            </w:r>
          </w:p>
        </w:tc>
        <w:tc>
          <w:tcPr>
            <w:tcW w:type="dxa" w:w="126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126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type="dxa" w:w="126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population</w:t>
            </w:r>
          </w:p>
        </w:tc>
        <w:tc>
          <w:tcPr>
            <w:tcW w:type="dxa" w:w="126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exceptions</w:t>
            </w:r>
          </w:p>
        </w:tc>
        <w:tc>
          <w:tcPr>
            <w:tcW w:type="dxa" w:w="126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exception_rate</w:t>
            </w:r>
          </w:p>
        </w:tc>
        <w:tc>
          <w:tcPr>
            <w:tcW w:type="dxa" w:w="126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open_exceptions</w:t>
            </w:r>
          </w:p>
        </w:tc>
        <w:tc>
          <w:tcPr>
            <w:tcW w:type="dxa" w:w="126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conclusion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ITGC-UA-01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User Access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New user access approval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5.59%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Exception Noted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ITGC-UA-02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User Access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Timely revocation of terminated users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392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5.1%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Exception Noted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ITGC-UA-03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User Access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HR separation notification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5.95%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Exception Noted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ITGC-UA-04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User Access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Quarterly user access review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6.25%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Exception Noted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ITGC-PA-01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Privileged Access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Privileged access authorization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280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3.57%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Exception Noted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ITGC-PA-02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Privileged Access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Independent approval of privileged access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275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Effective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ITGC-CM-01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Change Management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Change approval prior to implementation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5.16%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Exception Noted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ITGC-CM-02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Change Management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Documented rollback plan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3.55%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Exception Noted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ITGC-CM-03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Change Management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Segregation of duties in change approval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610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Effective</w:t>
            </w:r>
          </w:p>
        </w:tc>
      </w:tr>
    </w:tbl>
    <w:p>
      <w:pPr>
        <w:pStyle w:val="Heading1"/>
      </w:pPr>
      <w:r>
        <w:rPr>
          <w:color w:val="1F3864"/>
        </w:rPr>
        <w:t>Matters for Attention</w:t>
      </w:r>
    </w:p>
    <w:p>
      <w:pPr>
        <w:pStyle w:val="ListBullet"/>
      </w:pPr>
      <w:r>
        <w:t>[Critical] EX-UA-02-001 - Access still active at as-of date: Power User on LSP; terminated 2025-01-14; not revoked as of 2026-01-30 (262 BD)</w:t>
      </w:r>
    </w:p>
    <w:p>
      <w:pPr>
        <w:pStyle w:val="ListBullet"/>
      </w:pPr>
      <w:r>
        <w:t>[Critical] EX-PA-01-002 - No approval record in register: Database Administrator on LSP granted 2025-02-07; register: none / - / -</w:t>
      </w:r>
    </w:p>
    <w:p>
      <w:pPr>
        <w:pStyle w:val="ListBullet"/>
      </w:pPr>
      <w:r>
        <w:t>[Critical] EX-PA-01-003 - No approval record in register: Superuser on LSP granted 2025-03-13; register: none / - / -</w:t>
      </w:r>
    </w:p>
    <w:p>
      <w:pPr>
        <w:pStyle w:val="ListBullet"/>
      </w:pPr>
      <w:r>
        <w:t>[High] EX-UA-03-001 - Late HR separation notice: Voluntary termination 2025-01-14; IT notified 2025-01-23 (6 BD)</w:t>
      </w:r>
    </w:p>
    <w:p>
      <w:pPr>
        <w:pStyle w:val="ListBullet"/>
      </w:pPr>
      <w:r>
        <w:t>[High] EX-PA-01-001 - Approved after access was granted: Superuser on TMS granted 2025-01-14; register: PA50071 / Superuser / TMS</w:t>
      </w:r>
    </w:p>
    <w:p>
      <w:pPr>
        <w:pStyle w:val="ListBullet"/>
      </w:pPr>
      <w:r>
        <w:t>[High] EX-UA-03-002 - Late HR separation notice: Voluntary termination 2025-02-04; IT notified 2025-02-13 (7 BD)</w:t>
      </w:r>
    </w:p>
    <w:p>
      <w:pPr>
        <w:pStyle w:val="ListBullet"/>
      </w:pPr>
      <w:r>
        <w:t>[High] EX-UA-03-003 - Late HR separation notice: Voluntary termination 2025-02-06; IT notified 2025-02-18 (7 BD)</w:t>
      </w:r>
    </w:p>
    <w:p>
      <w:pPr>
        <w:pStyle w:val="ListBullet"/>
      </w:pPr>
      <w:r>
        <w:t>[High] EX-UA-02-002 - Access revoked after SLA: Power User on LSP; terminated 2025-02-06; revoked 2025-02-14 (6 BD)</w:t>
      </w:r>
    </w:p>
    <w:p>
      <w:r>
        <w:t>The user-access deprovisioning chain (UA-03 -&gt; UA-02) is the most significant theme: 20 grants for 14 terminated employees were not revoked within SLA, and 11 were still active at the as-of date. We recommend management evaluate these deficiencies in aggregation for risk R-02 and review post-termination activity on the affected accounts.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