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WP-CM-01: Change approval prior to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ITGC-CM-01 / Change Management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Change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IT-dependent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R-04 - Unauthorized changes to financial systems (inherent severity 12 - High)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changes to applications, interfaces, or configurations supporting financial reporting are implemented to production without independent approval, introducing processing or calculation errors.</w:t>
      </w:r>
    </w:p>
    <w:p>
      <w:r>
        <w:t>Control description (per RCM): Normal and standard changes to in-scope applications are approved by the Change Advisory Board (CAB) prior to production implementation. Emergency changes may be implemented first but must be retrospectively approved within two (2) business days.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data/change_log.csv (changes implemented in FY2025). In-scope population tested: 620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620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change_id)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2025-01-08 to 2025-12-31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(620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(32 SQL vs 32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Approver recorded; approval before implementation (emergency: within 2 BD after).</w:t>
      </w:r>
    </w:p>
    <w:p>
      <w:pPr>
        <w:pStyle w:val="ListNumber"/>
      </w:pPr>
      <w:r>
        <w:t>Obtain the FY2025 production change log</w:t>
      </w:r>
    </w:p>
    <w:p>
      <w:pPr>
        <w:pStyle w:val="ListNumber"/>
      </w:pPr>
      <w:r>
        <w:t>For each change confirm an approver and approval timestamp exist</w:t>
      </w:r>
    </w:p>
    <w:p>
      <w:pPr>
        <w:pStyle w:val="ListNumber"/>
      </w:pPr>
      <w:r>
        <w:t>For normal/standard changes confirm approval precedes implementation</w:t>
      </w:r>
    </w:p>
    <w:p>
      <w:pPr>
        <w:pStyle w:val="ListNumber"/>
      </w:pPr>
      <w:r>
        <w:t>For emergency changes confirm approval within 2 business days after implementation.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620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32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5.16%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22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Exceptions by system: LSP 15, FCR 8, GL01 8, TMS 1.</w:t>
      </w:r>
    </w:p>
    <w:p>
      <w:pPr>
        <w:pStyle w:val="ListBullet"/>
      </w:pPr>
      <w:r>
        <w:t>By exception type: Approved after implementation (16); No approver / approval date recorded (10); Emergency change approved outside 2-BD window (6).</w:t>
      </w:r>
    </w:p>
    <w:p>
      <w:pPr>
        <w:pStyle w:val="ListBullet"/>
      </w:pPr>
      <w:r>
        <w:t>By quarter of occurrence: 2025Q1 7, 2025Q2 6, 2025Q3 5, 2025Q4 14 - exceptions recur across the year, indicating a design/process gap rather than a one-off lapse.</w:t>
      </w:r>
    </w:p>
    <w:p>
      <w:r>
        <w:rPr>
          <w:b/>
        </w:rPr>
        <w:t>Exception listing (32 items; also in outputs/exceptions/ITGC-CM-01_exceptions.csv):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CHG0030026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E10900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CHG0030061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E10153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CHG0030089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E10998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E10345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CHG0030149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E10948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CHG0030150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E10163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E10077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Emergency change approved outside 2-BD window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E10163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CHG0030241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E10933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CHG0030289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E10163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CHG0030345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E10285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CHG0030358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E10856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CHG0030361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E10666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CHG0030465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Emergency change approved outside 2-BD window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CHG0030472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CHG0030482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E10192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Emergency change approved outside 2-BD window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E10077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Emergency change approved outside 2-BD window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E10642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Emergency change approved outside 2-BD window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CHG0030533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E10153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E10285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CHG0030570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Emergency change approved outside 2-BD window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CHG0030578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E10469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CHG0030596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implementation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EX-CM-01-032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CHG0030614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E10788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approver / approval date recorded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32 exceptions were identified in 620 items (5.16%). Because the full population was tested, these are actual deviations, not projections, and the control did not operate effectively throughout FY2025. Deficiency assessment: Deficiency - evaluate for significant deficiency (aggregation &amp; compensating controls).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Enforce a change-management tool gate so deployment pipelines cannot promote to production without CAB approval status.</w:t>
      </w:r>
    </w:p>
    <w:p>
      <w:pPr>
        <w:pStyle w:val="ListBullet"/>
      </w:pPr>
      <w:r>
        <w:t>Obtain retrospective CAB review of each exception change, confirming it operated as intended and did not affect financial data.</w:t>
      </w:r>
    </w:p>
    <w:p>
      <w:pPr>
        <w:pStyle w:val="ListBullet"/>
      </w:pPr>
      <w:r>
        <w:t>Monitor emergency changes weekly for retrospective approval within 2 business days.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32 of 32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