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WP-CM-03: Segregation of duties in change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ITGC-CM-03 / Change Management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Change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R-04 - Unauthorized changes to financial systems (inherent severity 12 - High)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changes to applications, interfaces, or configurations supporting financial reporting are implemented to production without independent approval, introducing processing or calculation errors.</w:t>
      </w:r>
    </w:p>
    <w:p>
      <w:r>
        <w:t>Control description (per RCM): The individual approving a change cannot be the individual who requested or developed it.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data/change_log.csv (approved changes implemented in FY2025). In-scope population tested: 610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620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change_id)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2025-01-08 to 2025-12-31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(610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(0 SQL vs 0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Approver ID differs from requester ID.</w:t>
      </w:r>
    </w:p>
    <w:p>
      <w:pPr>
        <w:pStyle w:val="ListNumber"/>
      </w:pPr>
      <w:r>
        <w:t>Compare requested_by to approved_by for each approved change</w:t>
      </w:r>
    </w:p>
    <w:p>
      <w:pPr>
        <w:pStyle w:val="ListNumber"/>
      </w:pPr>
      <w:r>
        <w:t>Flag matches.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610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0.00%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No exceptions; no patterns to report.</w:t>
      </w:r>
    </w:p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006300"/>
        </w:rPr>
        <w:t xml:space="preserve">EFFECTIVE: </w:t>
      </w:r>
      <w:r>
        <w:t>No exceptions were identified in 610 items tested. The control operated effectively throughout FY2025.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No remediation required. Continue to monitor requester/approver segregation in the change tool.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0 of 0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