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  <w:sz w:val="36"/>
        </w:rPr>
        <w:t>Workpaper WP-PA-02: Independent approval of privileged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Entity / Period</w:t>
            </w:r>
          </w:p>
        </w:tc>
        <w:tc>
          <w:tcPr>
            <w:tcW w:type="dxa" w:w="5040"/>
          </w:tcPr>
          <w:p>
            <w:r>
              <w:t>Meridian Financial Group (fictional) / FY2025 (01 Jan 2025 - 31 Dec 2025)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ID / Domain</w:t>
            </w:r>
          </w:p>
        </w:tc>
        <w:tc>
          <w:tcPr>
            <w:tcW w:type="dxa" w:w="5040"/>
          </w:tcPr>
          <w:p>
            <w:r>
              <w:t>ITGC-PA-02 / Privileged Access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owner</w:t>
            </w:r>
          </w:p>
        </w:tc>
        <w:tc>
          <w:tcPr>
            <w:tcW w:type="dxa" w:w="5040"/>
          </w:tcPr>
          <w:p>
            <w:r>
              <w:t>Information Security Manager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Frequency / Type / Nature</w:t>
            </w:r>
          </w:p>
        </w:tc>
        <w:tc>
          <w:tcPr>
            <w:tcW w:type="dxa" w:w="5040"/>
          </w:tcPr>
          <w:p>
            <w:r>
              <w:t>As needed (per event) / Preventive / Automated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Key control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Risk addressed</w:t>
            </w:r>
          </w:p>
        </w:tc>
        <w:tc>
          <w:tcPr>
            <w:tcW w:type="dxa" w:w="5040"/>
          </w:tcPr>
          <w:p>
            <w:r>
              <w:t>R-03 - Inappropriate privileged access (inherent severity 15 - Critical)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Prepared by / date</w:t>
            </w:r>
          </w:p>
        </w:tc>
        <w:tc>
          <w:tcPr>
            <w:tcW w:type="dxa" w:w="5040"/>
          </w:tcPr>
          <w:p>
            <w:r>
              <w:t>SOX ITGC Tester (simulation) / 30 Jan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Reviewed by / date</w:t>
            </w:r>
          </w:p>
        </w:tc>
        <w:tc>
          <w:tcPr>
            <w:tcW w:type="dxa" w:w="5040"/>
          </w:tcPr>
          <w:p>
            <w:r>
              <w:t>Pending reviewer sign-off</w:t>
            </w:r>
          </w:p>
        </w:tc>
      </w:tr>
    </w:tbl>
    <w:p>
      <w:pPr>
        <w:pStyle w:val="Heading1"/>
      </w:pPr>
      <w:r>
        <w:rPr>
          <w:color w:val="1F3864"/>
        </w:rPr>
        <w:t>1. Control Objective</w:t>
      </w:r>
    </w:p>
    <w:p>
      <w:r>
        <w:t>To address the risk that privileged (administrator, superuser, DBA) access is granted without independent authorization, enabling users to bypass application controls, alter configurations, or modify financial data directly.</w:t>
      </w:r>
    </w:p>
    <w:p>
      <w:r>
        <w:t>Control description (per RCM): Approvers of privileged access requests must be independent of the requester; self-approval is prohibited and blocked by workflow configuration.</w:t>
      </w:r>
    </w:p>
    <w:p>
      <w:pPr>
        <w:pStyle w:val="Heading1"/>
      </w:pPr>
      <w:r>
        <w:rPr>
          <w:color w:val="1F3864"/>
        </w:rPr>
        <w:t>2. Population</w:t>
      </w:r>
    </w:p>
    <w:p>
      <w:r>
        <w:t>Source: data/privileged_access_approvals.csv (approvals for FY2025 privileged grants). In-scope population tested: 275 items.</w:t>
      </w:r>
    </w:p>
    <w:p>
      <w:r>
        <w:t>Completeness and accuracy of the information produced by the entity (IPE) were evaluated before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Source record count</w:t>
            </w:r>
          </w:p>
        </w:tc>
        <w:tc>
          <w:tcPr>
            <w:tcW w:type="dxa" w:w="5040"/>
          </w:tcPr>
          <w:p>
            <w:r>
              <w:t>2,706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Duplicate record keys</w:t>
            </w:r>
          </w:p>
        </w:tc>
        <w:tc>
          <w:tcPr>
            <w:tcW w:type="dxa" w:w="5040"/>
          </w:tcPr>
          <w:p>
            <w:r>
              <w:t>0 (key: grant_id)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 range of key field</w:t>
            </w:r>
          </w:p>
        </w:tc>
        <w:tc>
          <w:tcPr>
            <w:tcW w:type="dxa" w:w="5040"/>
          </w:tcPr>
          <w:p>
            <w:r>
              <w:t>2012-01-02 to 2025-12-09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Employee IDs not on HR roster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F3864"/>
        </w:rPr>
        <w:t>3. Sample / Testing Approach</w:t>
      </w:r>
    </w:p>
    <w:p>
      <w:r>
        <w:t>The full population (275 items) was tested with computer-assisted audit techniques rather than a sample. For a control that operates as needed (per event), a traditional attribute sample would typically be 25 to 60 items. Testing 100% of the population removes sampling risk, so every deviation is identified and none has to be extrapolated.</w:t>
      </w:r>
    </w:p>
    <w:p>
      <w:r>
        <w:t>The test logic was implemented twice, in Python/pandas (src/phase3_test_controls.py) and in SQL (sql/), and the two exception sets were reconciled record-by-record: agreed (0 SQL vs 0 pandas).</w:t>
      </w:r>
    </w:p>
    <w:p>
      <w:pPr>
        <w:pStyle w:val="Heading1"/>
      </w:pPr>
      <w:r>
        <w:rPr>
          <w:color w:val="1F3864"/>
        </w:rPr>
        <w:t>4. Procedures Performed</w:t>
      </w:r>
    </w:p>
    <w:p>
      <w:r>
        <w:t>Test attribute / exception definition: Approver ID differs from the employee receiving access.</w:t>
      </w:r>
    </w:p>
    <w:p>
      <w:pPr>
        <w:pStyle w:val="ListNumber"/>
      </w:pPr>
      <w:r>
        <w:t>For each privileged approval record supporting an FY2025 grant, compare the approver ID to the grantee ID</w:t>
      </w:r>
    </w:p>
    <w:p>
      <w:pPr>
        <w:pStyle w:val="ListNumber"/>
      </w:pPr>
      <w:r>
        <w:t>Flag self-approvals.</w:t>
      </w:r>
    </w:p>
    <w:p>
      <w:pPr>
        <w:pStyle w:val="ListNumber"/>
      </w:pPr>
      <w:r>
        <w:t>Each exception was traced to its source record ID (listed below) for follow-up with the control owner.</w:t>
      </w:r>
    </w:p>
    <w:p>
      <w:pPr>
        <w:pStyle w:val="Heading1"/>
      </w:pPr>
      <w:r>
        <w:rPr>
          <w:color w:val="1F3864"/>
        </w:rP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Items tested</w:t>
            </w:r>
          </w:p>
        </w:tc>
        <w:tc>
          <w:tcPr>
            <w:tcW w:type="dxa" w:w="5040"/>
          </w:tcPr>
          <w:p>
            <w:r>
              <w:t>275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identified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 rate</w:t>
            </w:r>
          </w:p>
        </w:tc>
        <w:tc>
          <w:tcPr>
            <w:tcW w:type="dxa" w:w="5040"/>
          </w:tcPr>
          <w:p>
            <w:r>
              <w:t>0.00%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Distinct employees involved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still open at as-of date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ListBullet"/>
      </w:pPr>
      <w:r>
        <w:t>No exceptions; no patterns to report.</w:t>
      </w:r>
    </w:p>
    <w:p>
      <w:pPr>
        <w:pStyle w:val="Heading1"/>
      </w:pPr>
      <w:r>
        <w:rPr>
          <w:color w:val="1F3864"/>
        </w:rPr>
        <w:t>6. Conclusion</w:t>
      </w:r>
    </w:p>
    <w:p>
      <w:r>
        <w:rPr>
          <w:b/>
          <w:color w:val="006300"/>
        </w:rPr>
        <w:t xml:space="preserve">EFFECTIVE: </w:t>
      </w:r>
      <w:r>
        <w:t>No exceptions were identified in 275 items tested. The control operated effectively throughout FY2025.</w:t>
      </w:r>
    </w:p>
    <w:p>
      <w:pPr>
        <w:pStyle w:val="Heading1"/>
      </w:pPr>
      <w:r>
        <w:rPr>
          <w:color w:val="1F3864"/>
        </w:rPr>
        <w:t>7. Remediation Recommendations</w:t>
      </w:r>
    </w:p>
    <w:p>
      <w:pPr>
        <w:pStyle w:val="ListBullet"/>
      </w:pPr>
      <w:r>
        <w:t>No remediation required. Continue to monitor the workflow configuration that blocks self-approval.</w:t>
      </w:r>
    </w:p>
    <w:p>
      <w:r>
        <w:t>Management response and target date: [to be obtained from control owner]</w:t>
      </w:r>
    </w:p>
    <w:p>
      <w:pPr>
        <w:pStyle w:val="Heading2"/>
      </w:pPr>
      <w:r>
        <w:rPr>
          <w:color w:val="1F3864"/>
        </w:rPr>
        <w:t>Appendix - Test-logic validation (simulation only)</w:t>
      </w:r>
    </w:p>
    <w:p>
      <w:r>
        <w:t>After testing was complete, results were compared to the independently stored answer key of seeded exceptions (answer_key/seeded_exceptions.csv): 0 of 0 seeded exceptions detected, 0 unexpected. The answer key was not an input to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