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16"/>
        </w:rPr>
        <w:t>SYNTHETIC DATA - simulation. Entity, people, systems and records are fictional.</w:t>
      </w:r>
    </w:p>
    <w:p>
      <w:pPr>
        <w:pStyle w:val="Title"/>
      </w:pPr>
      <w:r>
        <w:rPr>
          <w:color w:val="1F3864"/>
          <w:sz w:val="36"/>
        </w:rPr>
        <w:t>Workpaper WP-UA-01: New user access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Entity / Period</w:t>
            </w:r>
          </w:p>
        </w:tc>
        <w:tc>
          <w:tcPr>
            <w:tcW w:type="dxa" w:w="5040"/>
          </w:tcPr>
          <w:p>
            <w:r>
              <w:t>Meridian Financial Group (fictional) / FY2025 (01 Jan 2025 - 31 Dec 2025)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ID / Domain</w:t>
            </w:r>
          </w:p>
        </w:tc>
        <w:tc>
          <w:tcPr>
            <w:tcW w:type="dxa" w:w="5040"/>
          </w:tcPr>
          <w:p>
            <w:r>
              <w:t>ITGC-UA-01 / User Access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owner</w:t>
            </w:r>
          </w:p>
        </w:tc>
        <w:tc>
          <w:tcPr>
            <w:tcW w:type="dxa" w:w="5040"/>
          </w:tcPr>
          <w:p>
            <w:r>
              <w:t>IT Access Manager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Frequency / Type / Nature</w:t>
            </w:r>
          </w:p>
        </w:tc>
        <w:tc>
          <w:tcPr>
            <w:tcW w:type="dxa" w:w="5040"/>
          </w:tcPr>
          <w:p>
            <w:r>
              <w:t>As needed (per event) / Preventive / IT-dependent manual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Key control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Risk addressed</w:t>
            </w:r>
          </w:p>
        </w:tc>
        <w:tc>
          <w:tcPr>
            <w:tcW w:type="dxa" w:w="5040"/>
          </w:tcPr>
          <w:p>
            <w:r>
              <w:t>R-01 - Unauthorized access to financial applications (inherent severity 12 - High)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Prepared by / date</w:t>
            </w:r>
          </w:p>
        </w:tc>
        <w:tc>
          <w:tcPr>
            <w:tcW w:type="dxa" w:w="5040"/>
          </w:tcPr>
          <w:p>
            <w:r>
              <w:t>SOX ITGC Tester (simulation) / 30 Jan 2026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Reviewed by / date</w:t>
            </w:r>
          </w:p>
        </w:tc>
        <w:tc>
          <w:tcPr>
            <w:tcW w:type="dxa" w:w="5040"/>
          </w:tcPr>
          <w:p>
            <w:r>
              <w:t>Pending reviewer sign-off</w:t>
            </w:r>
          </w:p>
        </w:tc>
      </w:tr>
    </w:tbl>
    <w:p>
      <w:pPr>
        <w:pStyle w:val="Heading1"/>
      </w:pPr>
      <w:r>
        <w:rPr>
          <w:color w:val="1F3864"/>
        </w:rPr>
        <w:t>1. Control Objective</w:t>
      </w:r>
    </w:p>
    <w:p>
      <w:r>
        <w:t>To address the risk that users are granted access to in-scope financial applications without documented business-owner approval, or retain access that is no longer commensurate with their role, allowing unauthorized or erroneous transactions to be recorded in the general ledger and subledgers.</w:t>
      </w:r>
    </w:p>
    <w:p>
      <w:r>
        <w:t>Control description (per RCM): Requests for new or modified (non-privileged) access to in-scope financial applications are submitted through the access request system and approved by the user's manager before the IT Access Management team provisions access. Provisioning without a recorded approver is not permitted.</w:t>
      </w:r>
    </w:p>
    <w:p>
      <w:pPr>
        <w:pStyle w:val="Heading1"/>
      </w:pPr>
      <w:r>
        <w:rPr>
          <w:color w:val="1F3864"/>
        </w:rPr>
        <w:t>2. Population</w:t>
      </w:r>
    </w:p>
    <w:p>
      <w:r>
        <w:t>Source: data/user_access_log.csv (non-privileged grants dated within FY2025). In-scope population tested: 501 items.</w:t>
      </w:r>
    </w:p>
    <w:p>
      <w:r>
        <w:t>Completeness and accuracy of the information produced by the entity (IPE) were evaluated before testing: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Source record count</w:t>
            </w:r>
          </w:p>
        </w:tc>
        <w:tc>
          <w:tcPr>
            <w:tcW w:type="dxa" w:w="5040"/>
          </w:tcPr>
          <w:p>
            <w:r>
              <w:t>2,706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Duplicate record keys</w:t>
            </w:r>
          </w:p>
        </w:tc>
        <w:tc>
          <w:tcPr>
            <w:tcW w:type="dxa" w:w="5040"/>
          </w:tcPr>
          <w:p>
            <w:r>
              <w:t>0 (key: grant_id)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Date range of key field</w:t>
            </w:r>
          </w:p>
        </w:tc>
        <w:tc>
          <w:tcPr>
            <w:tcW w:type="dxa" w:w="5040"/>
          </w:tcPr>
          <w:p>
            <w:r>
              <w:t>2012-01-02 to 2025-12-09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Employee IDs not on HR roster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color w:val="1F3864"/>
        </w:rPr>
        <w:t>3. Sample / Testing Approach</w:t>
      </w:r>
    </w:p>
    <w:p>
      <w:r>
        <w:t>The full population (501 items) was tested with computer-assisted audit techniques rather than a sample. For a control that operates as needed (per event), a traditional attribute sample would typically be 25 to 60 items. Testing 100% of the population removes sampling risk, so every deviation is identified and none has to be extrapolated.</w:t>
      </w:r>
    </w:p>
    <w:p>
      <w:r>
        <w:t>The test logic was implemented twice, in Python/pandas (src/phase3_test_controls.py) and in SQL (sql/), and the two exception sets were reconciled record-by-record: agreed (28 SQL vs 28 pandas).</w:t>
      </w:r>
    </w:p>
    <w:p>
      <w:pPr>
        <w:pStyle w:val="Heading1"/>
      </w:pPr>
      <w:r>
        <w:rPr>
          <w:color w:val="1F3864"/>
        </w:rPr>
        <w:t>4. Procedures Performed</w:t>
      </w:r>
    </w:p>
    <w:p>
      <w:r>
        <w:t>Test attribute / exception definition: Grant has a recorded approver who is not the grantee.</w:t>
      </w:r>
    </w:p>
    <w:p>
      <w:pPr>
        <w:pStyle w:val="ListNumber"/>
      </w:pPr>
      <w:r>
        <w:t>Obtain the FY2025 access provisioning log</w:t>
      </w:r>
    </w:p>
    <w:p>
      <w:pPr>
        <w:pStyle w:val="ListNumber"/>
      </w:pPr>
      <w:r>
        <w:t>Filter to non-privileged grants in period</w:t>
      </w:r>
    </w:p>
    <w:p>
      <w:pPr>
        <w:pStyle w:val="ListNumber"/>
      </w:pPr>
      <w:r>
        <w:t>Confirm each grant carries an approver ID and that the approver is not the grantee.</w:t>
      </w:r>
    </w:p>
    <w:p>
      <w:pPr>
        <w:pStyle w:val="ListNumber"/>
      </w:pPr>
      <w:r>
        <w:t>Each exception was traced to its source record ID (listed below) for follow-up with the control owner.</w:t>
      </w:r>
    </w:p>
    <w:p>
      <w:pPr>
        <w:pStyle w:val="Heading1"/>
      </w:pPr>
      <w:r>
        <w:rPr>
          <w:color w:val="1F3864"/>
        </w:rPr>
        <w:t>5.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Items tested</w:t>
            </w:r>
          </w:p>
        </w:tc>
        <w:tc>
          <w:tcPr>
            <w:tcW w:type="dxa" w:w="5040"/>
          </w:tcPr>
          <w:p>
            <w:r>
              <w:t>501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identified</w:t>
            </w:r>
          </w:p>
        </w:tc>
        <w:tc>
          <w:tcPr>
            <w:tcW w:type="dxa" w:w="5040"/>
          </w:tcPr>
          <w:p>
            <w:r>
              <w:t>28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 rate</w:t>
            </w:r>
          </w:p>
        </w:tc>
        <w:tc>
          <w:tcPr>
            <w:tcW w:type="dxa" w:w="5040"/>
          </w:tcPr>
          <w:p>
            <w:r>
              <w:t>5.59%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Distinct employees involved</w:t>
            </w:r>
          </w:p>
        </w:tc>
        <w:tc>
          <w:tcPr>
            <w:tcW w:type="dxa" w:w="5040"/>
          </w:tcPr>
          <w:p>
            <w:r>
              <w:t>28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still open at as-of date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ListBullet"/>
      </w:pPr>
      <w:r>
        <w:t>Exceptions by system: LSP 12, GL01 8, FCR 6, TMS 2.</w:t>
      </w:r>
    </w:p>
    <w:p>
      <w:pPr>
        <w:pStyle w:val="ListBullet"/>
      </w:pPr>
      <w:r>
        <w:t>By exception type: No approver recorded on grant (28).</w:t>
      </w:r>
    </w:p>
    <w:p>
      <w:pPr>
        <w:pStyle w:val="ListBullet"/>
      </w:pPr>
      <w:r>
        <w:t>By quarter of occurrence: 2025Q1 9, 2025Q2 6, 2025Q3 7, 2025Q4 6 - exceptions recur across the year, indicating a design/process gap rather than a one-off lapse.</w:t>
      </w:r>
    </w:p>
    <w:p>
      <w:r>
        <w:rPr>
          <w:b/>
        </w:rPr>
        <w:t>Exception listing (28 items; also in outputs/exceptions/ITGC-UA-01_exceptions.csv):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 ID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Source record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Employee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System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Event date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Required by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Exception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G201926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G201938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E11157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G201943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E10310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G201968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E11035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TMS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G202012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E10364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2025-01-30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2025-01-30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G202025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E11089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G202080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E10592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G202121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E10046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EX-UA-01-009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G202129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E10777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G202169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E10650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EX-UA-01-011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G202174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G202260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2025-05-21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2025-05-21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G202329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E10173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G202335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E10859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G202345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E10566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G202375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E10672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EX-UA-01-017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G202384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E10775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G202395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E10931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EX-UA-01-019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G202423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E10186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G202497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E10900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G202506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E10671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2025-09-11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2025-09-11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EX-UA-01-022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G202511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E10521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EX-UA-01-023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G202577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E10556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G202579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E10514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G202583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E10822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EX-UA-01-026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G202587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E10631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TMS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G202656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E10936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EX-UA-01-028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G202670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E11213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recorded on grant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6. Conclusion</w:t>
      </w:r>
    </w:p>
    <w:p>
      <w:r>
        <w:rPr>
          <w:b/>
          <w:color w:val="C00000"/>
        </w:rPr>
        <w:t xml:space="preserve">EXCEPTION NOTED: </w:t>
      </w:r>
      <w:r>
        <w:t>28 exceptions were identified in 501 items (5.59%). Because the full population was tested, these are actual deviations, not projections, and the control did not operate effectively throughout FY2025. Deficiency assessment: Deficiency - evaluate for significant deficiency (aggregation &amp; compensating controls). Final severity must consider compensating controls and aggregation with other deficiencies affecting the same risk and assertions.</w:t>
      </w:r>
    </w:p>
    <w:p>
      <w:pPr>
        <w:pStyle w:val="Heading1"/>
      </w:pPr>
      <w:r>
        <w:rPr>
          <w:color w:val="1F3864"/>
        </w:rPr>
        <w:t>7. Remediation Recommendations</w:t>
      </w:r>
    </w:p>
    <w:p>
      <w:pPr>
        <w:pStyle w:val="ListBullet"/>
      </w:pPr>
      <w:r>
        <w:t>Configure the provisioning tool to block account creation unless the request ticket carries an approved status (convert the control from manual to automated preventive).</w:t>
      </w:r>
    </w:p>
    <w:p>
      <w:pPr>
        <w:pStyle w:val="ListBullet"/>
      </w:pPr>
      <w:r>
        <w:t>Obtain retrospective business-owner approval for each exception grant, or remove the access.</w:t>
      </w:r>
    </w:p>
    <w:p>
      <w:pPr>
        <w:pStyle w:val="ListBullet"/>
      </w:pPr>
      <w:r>
        <w:t>Add a monthly IT Access Manager review of grants lacking an approver until the automated block is live.</w:t>
      </w:r>
    </w:p>
    <w:p>
      <w:r>
        <w:t>Management response and target date: [to be obtained from control owner]</w:t>
      </w:r>
    </w:p>
    <w:p>
      <w:pPr>
        <w:pStyle w:val="Heading2"/>
      </w:pPr>
      <w:r>
        <w:rPr>
          <w:color w:val="1F3864"/>
        </w:rPr>
        <w:t>Appendix - Test-logic validation (simulation only)</w:t>
      </w:r>
    </w:p>
    <w:p>
      <w:r>
        <w:t>After testing was complete, results were compared to the independently stored answer key of seeded exceptions (answer_key/seeded_exceptions.csv): 28 of 28 seeded exceptions detected, 0 unexpected. The answer key was not an input to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DATA -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Meridian Financial Group (fictional) | FY2025 SOX ITGC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