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WP-UA-03: HR separation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ITGC-UA-03 / User Access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HR Operations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IT-dependent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No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R-02 - Terminated users retain system access (inherent severity 15 - Critical)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access for terminated employees and contractors is not removed timely, allowing former personnel (or others using their credentials) to initiate or approve transactions after separation.</w:t>
      </w:r>
    </w:p>
    <w:p>
      <w:r>
        <w:t>Control description (per RCM): HR Operations notifies IT Access Management of each separation via the HR system feed or ticket within one (1) business day of the termination date, triggering the revocation workflow.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data/termination_log.csv (terminations dated within FY2025). In-scope population tested: 185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185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employee_id)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2025-01-02 to 2025-12-19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Employee IDs not on HR roster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(185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(11 SQL vs 11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HR-notified date is no more than 1 business day after termination date.</w:t>
      </w:r>
    </w:p>
    <w:p>
      <w:pPr>
        <w:pStyle w:val="ListNumber"/>
      </w:pPr>
      <w:r>
        <w:t>For each FY2025 termination compute business days between the termination date and the HR-notified date</w:t>
      </w:r>
    </w:p>
    <w:p>
      <w:pPr>
        <w:pStyle w:val="ListNumber"/>
      </w:pPr>
      <w:r>
        <w:t>Flag notifications later than 1 business day.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185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11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5.95%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11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ListBullet"/>
      </w:pPr>
      <w:r>
        <w:t>Notifications arrived a median of 5 and a maximum of 8 business days after the 1-day SLA.</w:t>
      </w:r>
    </w:p>
    <w:p>
      <w:pPr>
        <w:pStyle w:val="ListBullet"/>
      </w:pPr>
      <w:r>
        <w:t>By termination type: Voluntary 9, Involuntary 2.</w:t>
      </w:r>
    </w:p>
    <w:p>
      <w:pPr>
        <w:pStyle w:val="ListBullet"/>
      </w:pPr>
      <w:r>
        <w:t>By quarter of occurrence: 2025Q1 4, 2025Q2 1, 2025Q3 3, 2025Q4 3 - exceptions recur across the year, indicating a design/process gap rather than a one-off lapse.</w:t>
      </w:r>
    </w:p>
    <w:p>
      <w:r>
        <w:rPr>
          <w:b/>
        </w:rPr>
        <w:t>Exception listing (11 items; also in outputs/exceptions/ITGC-UA-03_exceptions.csv):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 ID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Source record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Event date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E10260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E10260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E11237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E11237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2025-03-19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2025-03-31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E10174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2025-07-31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E10592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E10592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E10079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E10079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E10684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E10684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2025-10-30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EX-UA-03-011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All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Late HR separation notice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Medium</w:t>
            </w:r>
          </w:p>
        </w:tc>
      </w:tr>
    </w:tbl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C00000"/>
        </w:rPr>
        <w:t xml:space="preserve">EXCEPTION NOTED: </w:t>
      </w:r>
      <w:r>
        <w:t>11 exceptions were identified in 185 items (5.95%). Because the full population was tested, these are actual deviations, not projections, and the control did not operate effectively throughout FY2025. Deficiency assessment: Deficiency - evaluate for significant deficiency (aggregation &amp; compensating controls). Final severity must consider compensating controls and aggregation with other deficiencies affecting the same risk and assertions.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Enable a real-time HR-to-IT termination feed instead of manual ticket creation.</w:t>
      </w:r>
    </w:p>
    <w:p>
      <w:pPr>
        <w:pStyle w:val="ListBullet"/>
      </w:pPr>
      <w:r>
        <w:t>Require managers to submit separation notices before the last working day for voluntary terminations; track late notices as an HR KPI.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11 of 11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