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3985" w14:textId="77777777" w:rsidR="00340FA9" w:rsidRPr="00B46E09" w:rsidRDefault="00000000">
      <w:pPr>
        <w:spacing w:after="20"/>
        <w:rPr>
          <w:sz w:val="28"/>
          <w:szCs w:val="28"/>
        </w:rPr>
      </w:pPr>
      <w:r w:rsidRPr="00B46E09">
        <w:rPr>
          <w:rFonts w:ascii="Calibri" w:hAnsi="Calibri"/>
          <w:b/>
          <w:color w:val="003366"/>
          <w:sz w:val="40"/>
          <w:szCs w:val="28"/>
        </w:rPr>
        <w:t>Executive Summary: Telco Churn Prediction</w:t>
      </w:r>
    </w:p>
    <w:p w14:paraId="14E85560" w14:textId="77777777" w:rsidR="00340FA9" w:rsidRPr="00B46E09" w:rsidRDefault="00000000">
      <w:pPr>
        <w:spacing w:after="120"/>
        <w:rPr>
          <w:sz w:val="28"/>
          <w:szCs w:val="28"/>
        </w:rPr>
      </w:pPr>
      <w:r w:rsidRPr="00B46E09">
        <w:rPr>
          <w:rFonts w:ascii="Calibri" w:hAnsi="Calibri"/>
          <w:i/>
          <w:color w:val="008080"/>
          <w:szCs w:val="28"/>
        </w:rPr>
        <w:t>End-to-End Machine Learning Pipeline | 5-Day Project Summary</w:t>
      </w:r>
    </w:p>
    <w:p w14:paraId="301FF4DF" w14:textId="77777777" w:rsidR="00340FA9" w:rsidRPr="00B46E09" w:rsidRDefault="00000000">
      <w:pPr>
        <w:keepNext/>
        <w:spacing w:before="160" w:after="40"/>
        <w:rPr>
          <w:sz w:val="28"/>
          <w:szCs w:val="28"/>
        </w:rPr>
      </w:pPr>
      <w:r w:rsidRPr="00B46E09">
        <w:rPr>
          <w:rFonts w:ascii="Calibri" w:hAnsi="Calibri"/>
          <w:b/>
          <w:color w:val="003366"/>
          <w:sz w:val="28"/>
          <w:szCs w:val="28"/>
        </w:rPr>
        <w:t>1. Which Model Won and Why?</w:t>
      </w:r>
    </w:p>
    <w:p w14:paraId="5501D1A9" w14:textId="77777777" w:rsidR="00340FA9" w:rsidRPr="00B46E09" w:rsidRDefault="00000000">
      <w:pPr>
        <w:spacing w:after="40" w:line="252" w:lineRule="auto"/>
        <w:rPr>
          <w:sz w:val="28"/>
          <w:szCs w:val="28"/>
        </w:rPr>
      </w:pPr>
      <w:r w:rsidRPr="00B46E09">
        <w:rPr>
          <w:rFonts w:ascii="Calibri" w:hAnsi="Calibri"/>
          <w:color w:val="333333"/>
          <w:szCs w:val="28"/>
        </w:rPr>
        <w:t>• Overall Winner: Logistic Regression (Baseline) won overall business utility with a Test ROC-AUC of 0.8448 and Recall of 0.7794. Applying class_weight='balanced' allowed it to capture the vast majority of churners effectively without complex tuning.</w:t>
      </w:r>
    </w:p>
    <w:p w14:paraId="41D51CE5" w14:textId="77777777" w:rsidR="00340FA9" w:rsidRPr="00B46E09" w:rsidRDefault="00000000">
      <w:pPr>
        <w:spacing w:after="40" w:line="252" w:lineRule="auto"/>
        <w:rPr>
          <w:sz w:val="28"/>
          <w:szCs w:val="28"/>
        </w:rPr>
      </w:pPr>
      <w:r w:rsidRPr="00B46E09">
        <w:rPr>
          <w:rFonts w:ascii="Calibri" w:hAnsi="Calibri"/>
          <w:color w:val="333333"/>
          <w:szCs w:val="28"/>
        </w:rPr>
        <w:t>• Ensemble Winner: AdaBoost Classifier won among tree ensembles (ROC-AUC 0.8390) with the highest Precision (0.6981).</w:t>
      </w:r>
    </w:p>
    <w:p w14:paraId="27C24CEB" w14:textId="77777777" w:rsidR="00340FA9" w:rsidRPr="00B46E09" w:rsidRDefault="00000000">
      <w:pPr>
        <w:spacing w:after="120" w:line="252" w:lineRule="auto"/>
        <w:rPr>
          <w:sz w:val="28"/>
          <w:szCs w:val="28"/>
        </w:rPr>
      </w:pPr>
      <w:r w:rsidRPr="00B46E09">
        <w:rPr>
          <w:rFonts w:ascii="Calibri" w:hAnsi="Calibri"/>
          <w:color w:val="333333"/>
          <w:szCs w:val="28"/>
        </w:rPr>
        <w:t>• Business Impact: AdaBoost minimizes false alarms. When retention budgets are tight (e.g., $50 discounts), AdaBoost ensures funds target only customers genuinely at risk of leaving.</w:t>
      </w:r>
    </w:p>
    <w:p w14:paraId="640D9109" w14:textId="77777777" w:rsidR="00340FA9" w:rsidRPr="00B46E09" w:rsidRDefault="00000000">
      <w:pPr>
        <w:keepNext/>
        <w:spacing w:before="160" w:after="40"/>
        <w:rPr>
          <w:sz w:val="28"/>
          <w:szCs w:val="28"/>
        </w:rPr>
      </w:pPr>
      <w:r w:rsidRPr="00B46E09">
        <w:rPr>
          <w:rFonts w:ascii="Calibri" w:hAnsi="Calibri"/>
          <w:b/>
          <w:color w:val="003366"/>
          <w:sz w:val="28"/>
          <w:szCs w:val="28"/>
        </w:rPr>
        <w:t>2. Entropy vs. Gini Impurity (In Plain Words)</w:t>
      </w:r>
    </w:p>
    <w:p w14:paraId="7781F2EA" w14:textId="77777777" w:rsidR="00340FA9" w:rsidRPr="00B46E09" w:rsidRDefault="00000000">
      <w:pPr>
        <w:spacing w:after="40" w:line="252" w:lineRule="auto"/>
        <w:rPr>
          <w:sz w:val="28"/>
          <w:szCs w:val="28"/>
        </w:rPr>
      </w:pPr>
      <w:r w:rsidRPr="00B46E09">
        <w:rPr>
          <w:rFonts w:ascii="Calibri" w:hAnsi="Calibri"/>
          <w:color w:val="333333"/>
          <w:szCs w:val="28"/>
        </w:rPr>
        <w:t>• Plain Words Definition: Both measure data impurity at a tree split. Gini measures misclassification probability (faster to calculate), while Entropy measures disorder using logarithms (computationally heavier).</w:t>
      </w:r>
    </w:p>
    <w:p w14:paraId="4F50E362" w14:textId="77777777" w:rsidR="00340FA9" w:rsidRPr="00B46E09" w:rsidRDefault="00000000">
      <w:pPr>
        <w:spacing w:after="120" w:line="252" w:lineRule="auto"/>
        <w:rPr>
          <w:sz w:val="28"/>
          <w:szCs w:val="28"/>
        </w:rPr>
      </w:pPr>
      <w:r w:rsidRPr="00B46E09">
        <w:rPr>
          <w:rFonts w:ascii="Calibri" w:hAnsi="Calibri"/>
          <w:color w:val="333333"/>
          <w:szCs w:val="28"/>
        </w:rPr>
        <w:t>• Did Choice Matter? No. Gini and Entropy yielded identical splits, tree structures, and validation scores on this dataset. Gini was selected purely for faster compute speed.</w:t>
      </w:r>
    </w:p>
    <w:p w14:paraId="6D30017D" w14:textId="77777777" w:rsidR="00340FA9" w:rsidRPr="00B46E09" w:rsidRDefault="00000000">
      <w:pPr>
        <w:keepNext/>
        <w:spacing w:before="160" w:after="40"/>
        <w:rPr>
          <w:sz w:val="28"/>
          <w:szCs w:val="28"/>
        </w:rPr>
      </w:pPr>
      <w:r w:rsidRPr="00B46E09">
        <w:rPr>
          <w:rFonts w:ascii="Calibri" w:hAnsi="Calibri"/>
          <w:b/>
          <w:color w:val="003366"/>
          <w:sz w:val="28"/>
          <w:szCs w:val="28"/>
        </w:rPr>
        <w:t>3. Why Boosting Beat Bagging Here</w:t>
      </w:r>
    </w:p>
    <w:p w14:paraId="65B5FEE9" w14:textId="77777777" w:rsidR="00340FA9" w:rsidRPr="00B46E09" w:rsidRDefault="00000000">
      <w:pPr>
        <w:spacing w:after="40" w:line="252" w:lineRule="auto"/>
        <w:rPr>
          <w:sz w:val="28"/>
          <w:szCs w:val="28"/>
        </w:rPr>
      </w:pPr>
      <w:r w:rsidRPr="00B46E09">
        <w:rPr>
          <w:rFonts w:ascii="Calibri" w:hAnsi="Calibri"/>
          <w:color w:val="333333"/>
          <w:szCs w:val="28"/>
        </w:rPr>
        <w:t>• Bagging (Random Forest ROC-AUC: 0.8162): Trains trees independently in parallel. While it reduced single-tree variance (0.6584), each tree operates blindly of others.</w:t>
      </w:r>
    </w:p>
    <w:p w14:paraId="12011D12" w14:textId="77777777" w:rsidR="00340FA9" w:rsidRPr="00B46E09" w:rsidRDefault="00000000">
      <w:pPr>
        <w:spacing w:after="120" w:line="252" w:lineRule="auto"/>
        <w:rPr>
          <w:sz w:val="28"/>
          <w:szCs w:val="28"/>
        </w:rPr>
      </w:pPr>
      <w:r w:rsidRPr="00B46E09">
        <w:rPr>
          <w:rFonts w:ascii="Calibri" w:hAnsi="Calibri"/>
          <w:color w:val="333333"/>
          <w:szCs w:val="28"/>
        </w:rPr>
        <w:t>• Boosting (AdaBoost ROC-AUC: 0.8390): Trains trees sequentially, where each new tree explicitly targets the residual errors of prior trees. This iterative focus captured complex boundary patterns that Bagging missed.</w:t>
      </w:r>
    </w:p>
    <w:p w14:paraId="4FC4E8A5" w14:textId="77777777" w:rsidR="00340FA9" w:rsidRPr="00B46E09" w:rsidRDefault="00000000">
      <w:pPr>
        <w:keepNext/>
        <w:spacing w:before="160" w:after="40"/>
        <w:rPr>
          <w:sz w:val="28"/>
          <w:szCs w:val="28"/>
        </w:rPr>
      </w:pPr>
      <w:r w:rsidRPr="00B46E09">
        <w:rPr>
          <w:rFonts w:ascii="Calibri" w:hAnsi="Calibri"/>
          <w:b/>
          <w:color w:val="003366"/>
          <w:sz w:val="28"/>
          <w:szCs w:val="28"/>
        </w:rPr>
        <w:t>4. Top 3 Drivers of Churn &amp; Business Action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3456"/>
        <w:gridCol w:w="4032"/>
      </w:tblGrid>
      <w:tr w:rsidR="00340FA9" w:rsidRPr="00B46E09" w14:paraId="44F7F4A9" w14:textId="77777777">
        <w:trPr>
          <w:jc w:val="center"/>
        </w:trPr>
        <w:tc>
          <w:tcPr>
            <w:tcW w:w="720" w:type="dxa"/>
            <w:shd w:val="clear" w:color="auto" w:fill="003366"/>
          </w:tcPr>
          <w:p w14:paraId="501DE91E" w14:textId="77777777" w:rsidR="00340FA9" w:rsidRPr="00B46E09" w:rsidRDefault="00000000">
            <w:pPr>
              <w:spacing w:before="40" w:after="40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b/>
                <w:color w:val="FFFFFF"/>
                <w:szCs w:val="28"/>
              </w:rPr>
              <w:t>Rank</w:t>
            </w:r>
          </w:p>
        </w:tc>
        <w:tc>
          <w:tcPr>
            <w:tcW w:w="2592" w:type="dxa"/>
            <w:shd w:val="clear" w:color="auto" w:fill="003366"/>
          </w:tcPr>
          <w:p w14:paraId="2685024F" w14:textId="77777777" w:rsidR="00340FA9" w:rsidRPr="00B46E09" w:rsidRDefault="00000000">
            <w:pPr>
              <w:spacing w:before="40" w:after="40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b/>
                <w:color w:val="FFFFFF"/>
                <w:szCs w:val="28"/>
              </w:rPr>
              <w:t>Top Churn Feature</w:t>
            </w:r>
          </w:p>
        </w:tc>
        <w:tc>
          <w:tcPr>
            <w:tcW w:w="3456" w:type="dxa"/>
            <w:shd w:val="clear" w:color="auto" w:fill="003366"/>
          </w:tcPr>
          <w:p w14:paraId="57B66571" w14:textId="77777777" w:rsidR="00340FA9" w:rsidRPr="00B46E09" w:rsidRDefault="00000000">
            <w:pPr>
              <w:spacing w:before="40" w:after="40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b/>
                <w:color w:val="FFFFFF"/>
                <w:szCs w:val="28"/>
              </w:rPr>
              <w:t>Why It Drives Churn</w:t>
            </w:r>
          </w:p>
        </w:tc>
        <w:tc>
          <w:tcPr>
            <w:tcW w:w="4032" w:type="dxa"/>
            <w:shd w:val="clear" w:color="auto" w:fill="003366"/>
          </w:tcPr>
          <w:p w14:paraId="0B5E8A9A" w14:textId="77777777" w:rsidR="00340FA9" w:rsidRPr="00B46E09" w:rsidRDefault="00000000">
            <w:pPr>
              <w:spacing w:before="40" w:after="40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b/>
                <w:color w:val="FFFFFF"/>
                <w:szCs w:val="28"/>
              </w:rPr>
              <w:t>Recommended Business Action</w:t>
            </w:r>
          </w:p>
        </w:tc>
      </w:tr>
      <w:tr w:rsidR="00340FA9" w:rsidRPr="00B46E09" w14:paraId="33E3FBD9" w14:textId="77777777">
        <w:trPr>
          <w:jc w:val="center"/>
        </w:trPr>
        <w:tc>
          <w:tcPr>
            <w:tcW w:w="720" w:type="dxa"/>
            <w:shd w:val="clear" w:color="auto" w:fill="F4F6F9"/>
          </w:tcPr>
          <w:p w14:paraId="7771D281" w14:textId="77777777" w:rsidR="00340FA9" w:rsidRPr="00B46E09" w:rsidRDefault="00000000">
            <w:pPr>
              <w:spacing w:before="40" w:after="40" w:line="252" w:lineRule="auto"/>
              <w:jc w:val="center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b/>
                <w:color w:val="333333"/>
                <w:sz w:val="20"/>
                <w:szCs w:val="28"/>
              </w:rPr>
              <w:t>1</w:t>
            </w:r>
          </w:p>
        </w:tc>
        <w:tc>
          <w:tcPr>
            <w:tcW w:w="2592" w:type="dxa"/>
            <w:shd w:val="clear" w:color="auto" w:fill="F4F6F9"/>
          </w:tcPr>
          <w:p w14:paraId="64A59A45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Contract_Month-to-month</w:t>
            </w:r>
          </w:p>
        </w:tc>
        <w:tc>
          <w:tcPr>
            <w:tcW w:w="3456" w:type="dxa"/>
            <w:shd w:val="clear" w:color="auto" w:fill="F4F6F9"/>
          </w:tcPr>
          <w:p w14:paraId="401C2933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Month-to-month contracts have zero exit barriers, causing rapid customer turnover.</w:t>
            </w:r>
          </w:p>
        </w:tc>
        <w:tc>
          <w:tcPr>
            <w:tcW w:w="4032" w:type="dxa"/>
            <w:shd w:val="clear" w:color="auto" w:fill="F4F6F9"/>
          </w:tcPr>
          <w:p w14:paraId="13656518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Contract Migration: Offer a 10% discount or speed upgrade to switch users to 1-year contracts.</w:t>
            </w:r>
          </w:p>
        </w:tc>
      </w:tr>
      <w:tr w:rsidR="00340FA9" w:rsidRPr="00B46E09" w14:paraId="08295FFB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4C417B2A" w14:textId="77777777" w:rsidR="00340FA9" w:rsidRPr="00B46E09" w:rsidRDefault="00000000">
            <w:pPr>
              <w:spacing w:before="40" w:after="40" w:line="252" w:lineRule="auto"/>
              <w:jc w:val="center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b/>
                <w:color w:val="333333"/>
                <w:sz w:val="20"/>
                <w:szCs w:val="28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071ED11A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TotalCharges &amp; tenure</w:t>
            </w:r>
          </w:p>
        </w:tc>
        <w:tc>
          <w:tcPr>
            <w:tcW w:w="3456" w:type="dxa"/>
            <w:shd w:val="clear" w:color="auto" w:fill="FFFFFF"/>
          </w:tcPr>
          <w:p w14:paraId="444899ED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Customers in months 1–12 present the highest flight risk before brand loyalty forms.</w:t>
            </w:r>
          </w:p>
        </w:tc>
        <w:tc>
          <w:tcPr>
            <w:tcW w:w="4032" w:type="dxa"/>
            <w:shd w:val="clear" w:color="auto" w:fill="FFFFFF"/>
          </w:tcPr>
          <w:p w14:paraId="3045FDE1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Early Onboarding: Automate check-ins at Month 3 &amp; 6 with dedicated onboarding support.</w:t>
            </w:r>
          </w:p>
        </w:tc>
      </w:tr>
      <w:tr w:rsidR="00340FA9" w:rsidRPr="00B46E09" w14:paraId="6090583B" w14:textId="77777777">
        <w:trPr>
          <w:jc w:val="center"/>
        </w:trPr>
        <w:tc>
          <w:tcPr>
            <w:tcW w:w="720" w:type="dxa"/>
            <w:shd w:val="clear" w:color="auto" w:fill="F4F6F9"/>
          </w:tcPr>
          <w:p w14:paraId="3653DF59" w14:textId="77777777" w:rsidR="00340FA9" w:rsidRPr="00B46E09" w:rsidRDefault="00000000">
            <w:pPr>
              <w:spacing w:before="40" w:after="40" w:line="252" w:lineRule="auto"/>
              <w:jc w:val="center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b/>
                <w:color w:val="333333"/>
                <w:sz w:val="20"/>
                <w:szCs w:val="28"/>
              </w:rPr>
              <w:t>3</w:t>
            </w:r>
          </w:p>
        </w:tc>
        <w:tc>
          <w:tcPr>
            <w:tcW w:w="2592" w:type="dxa"/>
            <w:shd w:val="clear" w:color="auto" w:fill="F4F6F9"/>
          </w:tcPr>
          <w:p w14:paraId="4AAC37E4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MonthlyCharges</w:t>
            </w:r>
          </w:p>
        </w:tc>
        <w:tc>
          <w:tcPr>
            <w:tcW w:w="3456" w:type="dxa"/>
            <w:shd w:val="clear" w:color="auto" w:fill="F4F6F9"/>
          </w:tcPr>
          <w:p w14:paraId="4BE90882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High recurring bills without contract lock-in trigger immediate price sensitivity.</w:t>
            </w:r>
          </w:p>
        </w:tc>
        <w:tc>
          <w:tcPr>
            <w:tcW w:w="4032" w:type="dxa"/>
            <w:shd w:val="clear" w:color="auto" w:fill="F4F6F9"/>
          </w:tcPr>
          <w:p w14:paraId="45F84588" w14:textId="77777777" w:rsidR="00340FA9" w:rsidRPr="00B46E09" w:rsidRDefault="00000000">
            <w:pPr>
              <w:spacing w:before="40" w:after="40" w:line="252" w:lineRule="auto"/>
              <w:rPr>
                <w:sz w:val="28"/>
                <w:szCs w:val="28"/>
              </w:rPr>
            </w:pPr>
            <w:r w:rsidRPr="00B46E09">
              <w:rPr>
                <w:rFonts w:ascii="Calibri" w:hAnsi="Calibri"/>
                <w:color w:val="333333"/>
                <w:sz w:val="20"/>
                <w:szCs w:val="28"/>
              </w:rPr>
              <w:t>Value Bundling: Create mid-tier bundles that lock rates with add-on streaming perks.</w:t>
            </w:r>
          </w:p>
        </w:tc>
      </w:tr>
    </w:tbl>
    <w:p w14:paraId="1C95C9DE" w14:textId="77777777" w:rsidR="00C03907" w:rsidRPr="00B46E09" w:rsidRDefault="00C03907">
      <w:pPr>
        <w:rPr>
          <w:sz w:val="28"/>
          <w:szCs w:val="28"/>
        </w:rPr>
      </w:pPr>
    </w:p>
    <w:sectPr w:rsidR="00C03907" w:rsidRPr="00B46E0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884633">
    <w:abstractNumId w:val="8"/>
  </w:num>
  <w:num w:numId="2" w16cid:durableId="1076366274">
    <w:abstractNumId w:val="6"/>
  </w:num>
  <w:num w:numId="3" w16cid:durableId="1830437305">
    <w:abstractNumId w:val="5"/>
  </w:num>
  <w:num w:numId="4" w16cid:durableId="1444958821">
    <w:abstractNumId w:val="4"/>
  </w:num>
  <w:num w:numId="5" w16cid:durableId="1626812153">
    <w:abstractNumId w:val="7"/>
  </w:num>
  <w:num w:numId="6" w16cid:durableId="1493375832">
    <w:abstractNumId w:val="3"/>
  </w:num>
  <w:num w:numId="7" w16cid:durableId="489255919">
    <w:abstractNumId w:val="2"/>
  </w:num>
  <w:num w:numId="8" w16cid:durableId="1227691610">
    <w:abstractNumId w:val="1"/>
  </w:num>
  <w:num w:numId="9" w16cid:durableId="104972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FA9"/>
    <w:rsid w:val="00AA1D8D"/>
    <w:rsid w:val="00B46E09"/>
    <w:rsid w:val="00B47730"/>
    <w:rsid w:val="00C03907"/>
    <w:rsid w:val="00C85A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9F345"/>
  <w14:defaultImageDpi w14:val="300"/>
  <w15:docId w15:val="{C23F8ED6-5EC1-4A20-B42E-2593B24A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Shahzaib Khalid</cp:lastModifiedBy>
  <cp:revision>2</cp:revision>
  <dcterms:created xsi:type="dcterms:W3CDTF">2013-12-23T23:15:00Z</dcterms:created>
  <dcterms:modified xsi:type="dcterms:W3CDTF">2026-10-27T11:52:00Z</dcterms:modified>
  <cp:category/>
</cp:coreProperties>
</file>