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Ltd - Travel and Expense Policy</w:t>
      </w:r>
    </w:p>
    <w:p>
      <w:r>
        <w:t>Effective 1 March 2026. Applies to all business travel.</w:t>
      </w:r>
    </w:p>
    <w:p>
      <w:pPr>
        <w:pStyle w:val="Heading2"/>
      </w:pPr>
      <w:r>
        <w:t>Accommodation</w:t>
      </w:r>
    </w:p>
    <w:p>
      <w:r>
        <w:t>Hotel costs are reimbursed up to $180 per night in tier-1 cities (London, New York, Paris, Tokyo, Dubai) and $120 per night elsewhere.</w:t>
      </w:r>
    </w:p>
    <w:p>
      <w:r>
        <w:t>Book through the travel portal where possible.</w:t>
      </w:r>
    </w:p>
    <w:p>
      <w:pPr>
        <w:pStyle w:val="Heading2"/>
      </w:pPr>
      <w:r>
        <w:t>Flights</w:t>
      </w:r>
    </w:p>
    <w:p>
      <w:r>
        <w:t>Economy class for flights under 6 hours. Business class is allowed for flights over 6 hours with director approval.</w:t>
      </w:r>
    </w:p>
    <w:p>
      <w:pPr>
        <w:pStyle w:val="Heading2"/>
      </w:pPr>
      <w:r>
        <w:t>Meals</w:t>
      </w:r>
    </w:p>
    <w:p>
      <w:r>
        <w:t>Meals are reimbursed up to $60 per day while travelling. Alcohol is not reimbursed.</w:t>
      </w:r>
    </w:p>
    <w:p>
      <w:pPr>
        <w:pStyle w:val="Heading2"/>
      </w:pPr>
      <w:r>
        <w:t>Claims</w:t>
      </w:r>
    </w:p>
    <w:p>
      <w:r>
        <w:t>Submit expense claims within 30 days of returning, with itemised receipts. Claims submitted later than 60 days are not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