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Online Resource 1</w:t>
      </w:r>
    </w:p>
    <w:p>
      <w:pPr>
        <w:pStyle w:val="BodyText"/>
      </w:pPr>
      <w:r>
        <w:rPr>
          <w:bCs/>
          <w:b/>
        </w:rPr>
        <w:t xml:space="preserve">Does urbanization filter vegetation through the soil? A spatially validated test with global soil maps in a West African floodplain city</w:t>
      </w:r>
    </w:p>
    <w:p>
      <w:pPr>
        <w:pStyle w:val="BodyText"/>
      </w:pPr>
      <w:r>
        <w:t xml:space="preserve">Ochoche Shaibu, Anatoly A. Kirichuk.</w:t>
      </w:r>
      <w:r>
        <w:t xml:space="preserve"> </w:t>
      </w:r>
      <w:r>
        <w:rPr>
          <w:iCs/>
          <w:i/>
        </w:rPr>
        <w:t xml:space="preserve">Environmental Earth Sciences</w:t>
      </w:r>
      <w:r>
        <w:t xml:space="preserve">. Corresponding author: shaibuochoche2014@gmail.com</w:t>
      </w:r>
    </w:p>
    <w:bookmarkStart w:id="23" w:name="fig.-s1"/>
    <w:p>
      <w:pPr>
        <w:pStyle w:val="Heading1"/>
      </w:pPr>
      <w:r>
        <w:t xml:space="preserve">Fig. S1</w:t>
      </w:r>
    </w:p>
    <w:p>
      <w:pPr>
        <w:pStyle w:val="FirstParagraph"/>
      </w:pPr>
      <w:r>
        <w:drawing>
          <wp:inline>
            <wp:extent cx="5753100" cy="50012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gures/figS1_bivariat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001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Fig. S1</w:t>
      </w:r>
      <w:r>
        <w:t xml:space="preserve"> </w:t>
      </w:r>
      <w:r>
        <w:t xml:space="preserve">Bivariate response of EVI to urban intensity (NTL) and each SoilGrids property, with linear trends (</w:t>
      </w:r>
      <w:r>
        <w:rPr>
          <w:iCs/>
          <w:i/>
        </w:rPr>
        <w:t xml:space="preserve">n</w:t>
      </w:r>
      <w:r>
        <w:t xml:space="preserve"> </w:t>
      </w:r>
      <w:r>
        <w:t xml:space="preserve">= 3,507 grid cells of 500 m). The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values treat cells as independent and are therefore nominal (see main text, Sect. 3.8, for the effective sample size).</w:t>
      </w:r>
    </w:p>
    <w:bookmarkEnd w:id="23"/>
    <w:bookmarkStart w:id="24" w:name="Xe1c98f21bf3aa617ae61b217feffda00f5b3b1b"/>
    <w:p>
      <w:pPr>
        <w:pStyle w:val="Heading1"/>
      </w:pPr>
      <w:r>
        <w:t xml:space="preserve">S2. Scan-order structure of the archived grid table</w:t>
      </w:r>
    </w:p>
    <w:p>
      <w:pPr>
        <w:pStyle w:val="FirstParagraph"/>
      </w:pPr>
      <w:r>
        <w:t xml:space="preserve">The archived table stores cells in Google Earth Engine</w:t>
      </w:r>
      <w:r>
        <w:t xml:space="preserve"> </w:t>
      </w:r>
      <w:r>
        <w:rPr>
          <w:rStyle w:val="VerbatimChar"/>
        </w:rPr>
        <w:t xml:space="preserve">coveringGrid</w:t>
      </w:r>
      <w:r>
        <w:t xml:space="preserve"> </w:t>
      </w:r>
      <w:r>
        <w:t xml:space="preserve">order. The autocorrelation of nighttime radiance between consecutive rows was 0.971 and peaked again at a lag of 70 rows (0.919), the mean length of one east–west scan line; the analogous values for EVI were 0.808 and 0.504. Cells with EVI &lt; 0.05 (the Benue channel) all fell between rows 2,176 and 2,924 (about 11 scan lines). These properties justify the latitude-band validation and clustering used in the main text. The coordinate-based extension (</w:t>
      </w:r>
      <w:r>
        <w:rPr>
          <w:rStyle w:val="VerbatimChar"/>
        </w:rPr>
        <w:t xml:space="preserve">scripts/gee/makurdi_export_v2.js</w:t>
      </w:r>
      <w:r>
        <w:t xml:space="preserve">) re-exports the same grid with centroid coordinates and verifies row-for-row identity with the archived table.</w:t>
      </w:r>
    </w:p>
    <w:bookmarkEnd w:id="24"/>
    <w:sect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60" w:before="0" w:line="240" w:lineRule="auto"/>
      <w:jc w:val="left"/>
    </w:pPr>
    <w:qFormat/>
    <w:rPr>
      <w:rFonts w:ascii="Times New Roman" w:cs="Times New Roman" w:eastAsia="Times New Roman" w:hAnsi="Times New Roman"/>
      <w:color w:val="000000"/>
      <w:sz w:val="23"/>
    </w:rPr>
  </w:style>
  <w:style w:customStyle="1" w:styleId="FirstParagraph" w:type="paragraph">
    <w:name w:val="First Paragraph"/>
    <w:basedOn w:val="BodyText"/>
    <w:next w:val="BodyText"/>
    <w:qFormat/>
    <w:pPr>
      <w:spacing w:after="160" w:before="0" w:line="240" w:lineRule="auto"/>
      <w:jc w:val="left"/>
    </w:pPr>
    <w:rPr>
      <w:rFonts w:ascii="Times New Roman" w:cs="Times New Roman" w:eastAsia="Times New Roman" w:hAnsi="Times New Roman"/>
      <w:color w:val="000000"/>
      <w:sz w:val="23"/>
    </w:rPr>
  </w:style>
  <w:style w:customStyle="1" w:styleId="Compact" w:type="paragraph">
    <w:name w:val="Compact"/>
    <w:basedOn w:val="BodyText"/>
    <w:qFormat/>
    <w:pPr>
      <w:spacing w:after="160" w:before="36" w:line="240" w:lineRule="auto"/>
      <w:jc w:val="left"/>
    </w:pPr>
    <w:rPr>
      <w:rFonts w:ascii="Times New Roman" w:cs="Times New Roman" w:eastAsia="Times New Roman" w:hAnsi="Times New Roman"/>
      <w:color w:val="000000"/>
      <w:sz w:val="23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00"/>
      <w:jc w:val="center"/>
    </w:pPr>
    <w:rPr>
      <w:rFonts w:ascii="Times New Roman" w:cs="Times New Roman" w:eastAsia="Times New Roman" w:hAnsi="Times New Roman"/>
      <w:b/>
      <w:bCs/>
      <w:i w:val="0"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after="80"/>
      <w:ind w:hanging="425" w:left="425"/>
    </w:pPr>
    <w:rPr>
      <w:rFonts w:ascii="Times New Roman" w:cs="Times New Roman" w:eastAsia="Times New Roman" w:hAnsi="Times New Roman"/>
      <w:color w:val="000000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80"/>
      <w:outlineLvl w:val="0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00"/>
      <w:outlineLvl w:val="1"/>
    </w:pPr>
    <w:rPr>
      <w:rFonts w:ascii="Times New Roman" w:cs="Times New Roman" w:eastAsia="Times New Roman" w:hAnsi="Times New Roman"/>
      <w:b/>
      <w:bCs/>
      <w:i w:val="0"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00"/>
      <w:outlineLvl w:val="2"/>
    </w:pPr>
    <w:rPr>
      <w:rFonts w:ascii="Times New Roman" w:cs="Times New Roman" w:eastAsia="Times New Roman" w:hAnsi="Times New Roman"/>
      <w:b/>
      <w:bCs/>
      <w:i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00"/>
      <w:outlineLvl w:val="3"/>
    </w:pPr>
    <w:rPr>
      <w:rFonts w:ascii="Times New Roman" w:cs="Times New Roman" w:eastAsia="Times New Roman" w:hAnsi="Times New Roman"/>
      <w:i w:val="0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color w:val="000000"/>
      <w:sz w:val="24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00" w:before="0"/>
      <w:jc w:val="left"/>
    </w:pPr>
    <w:rPr>
      <w:rFonts w:ascii="Times New Roman" w:cs="Times New Roman" w:eastAsia="Times New Roman" w:hAnsi="Times New Roman"/>
      <w:i w:val="0"/>
      <w:color w:val="000000"/>
      <w:sz w:val="21"/>
    </w:rPr>
  </w:style>
  <w:style w:customStyle="1" w:styleId="TableCaption" w:type="paragraph">
    <w:name w:val="Table Caption"/>
    <w:basedOn w:val="Caption"/>
    <w:pPr>
      <w:keepNext/>
      <w:spacing w:after="200"/>
      <w:jc w:val="left"/>
    </w:pPr>
    <w:rPr>
      <w:rFonts w:ascii="Times New Roman" w:cs="Times New Roman" w:eastAsia="Times New Roman" w:hAnsi="Times New Roman"/>
      <w:i w:val="0"/>
      <w:color w:val="000000"/>
      <w:sz w:val="21"/>
    </w:rPr>
  </w:style>
  <w:style w:customStyle="1" w:styleId="ImageCaption" w:type="paragraph">
    <w:name w:val="Image Caption"/>
    <w:basedOn w:val="Caption"/>
    <w:pPr>
      <w:spacing w:after="200"/>
      <w:jc w:val="left"/>
    </w:pPr>
    <w:rPr>
      <w:rFonts w:ascii="Times New Roman" w:cs="Times New Roman" w:eastAsia="Times New Roman" w:hAnsi="Times New Roman"/>
      <w:i w:val="0"/>
      <w:color w:val="000000"/>
      <w:sz w:val="21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F4E79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2026-10-08T04:13:07Z</dcterms:created>
  <dcterms:modified xsi:type="dcterms:W3CDTF">2026-10-08T04:13:07Z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