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27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 LTVIP2025TMID43589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Poultry Disease Classification using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ng1somfkv2u8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Solution architecture is a critical process that bridges the gap between the poultry farming business problem and our AI-based technological solution. Its goals are 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Find the best AI solution to detect and classify poultry diseases accurately.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Describe the structure, behavior, and interaction between the machine learning model, web interface, and user system.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Define the core features like image upload, prediction, and remedy suggestions, as well as development phases like model training, deployment, and updates.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Provide clear specifications for deploying the system on cloud/web to make it accessible to farmers.</w:t>
      </w:r>
    </w:p>
    <w:p w:rsidR="00000000" w:rsidDel="00000000" w:rsidP="00000000" w:rsidRDefault="00000000" w:rsidRPr="00000000" w14:paraId="00000013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tabs>
          <w:tab w:val="left" w:leader="none" w:pos="5529"/>
        </w:tabs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Figure 1: Architecture and data flow of the voice patient diary sample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/PKRE5tk90a4XiBpWN8/Ou+CpA==">CgMxLjAyDmgubmcxc29tZmt2MnU4OAByITFsbGphZ0xMR29XRklUbXUtWVBpWXQwdmtNYVlMQW5QTQ==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