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Detailed Design Document — V1.0</w:t>
        <w:br/>
        <w:t>Part 2A — Database Design Review &amp; Finalization</w:t>
      </w:r>
    </w:p>
    <w:p>
      <w:pPr>
        <w:jc w:val="center"/>
      </w:pPr>
      <w:r>
        <w:rPr>
          <w:b/>
        </w:rPr>
        <w:t>Civic Transparency &amp; Accountability Platform</w:t>
      </w:r>
    </w:p>
    <w:p>
      <w:r>
        <w:t>Database: PostgreSQL + PostGIS | Architecture: Modular Monolith | Design approach: Domain-driven relational model</w:t>
      </w:r>
    </w:p>
    <w:p>
      <w:pPr>
        <w:pStyle w:val="Heading1"/>
      </w:pPr>
      <w:r>
        <w:t>Purpose of Part 2A</w:t>
      </w:r>
    </w:p>
    <w:p>
      <w:r>
        <w:t>This document records the 19 design-review points for the database architecture. The purpose is to resolve the major database decisions before producing the final ER model, complete table-by-table data dictionary, and SQL migrations.</w:t>
      </w:r>
    </w:p>
    <w:p>
      <w:pPr>
        <w:pStyle w:val="Heading1"/>
      </w:pPr>
      <w:r>
        <w:t>1. PII Database Isolation</w:t>
      </w:r>
    </w:p>
    <w:p>
      <w:r>
        <w:t>Decision: Logical schema isolation + application authorization + encryption for sensitive fields.</w:t>
      </w:r>
    </w:p>
    <w:p>
      <w:r>
        <w:t>Use one PostgreSQL database initially, with logical separation:</w:t>
      </w:r>
    </w:p>
    <w:p>
      <w:r>
        <w:t>PostgreSQL → identity, citizen, complaint, geography, workflow, evidence, moderation, authority, routing, SLA, notification, audit, transparency, analytics, administration.</w:t>
      </w:r>
    </w:p>
    <w:p>
      <w:r>
        <w:t>Citizen PII belongs in the citizen schema. The complaint model contains only a controlled citizen reference, not name, email, phone, address, password, OTP, authentication tokens, or Keycloak credential data.</w:t>
      </w:r>
    </w:p>
    <w:p>
      <w:r>
        <w:t>V1 will not use a physically separate PII database. Instead, use a separate schema, strict application authorization, database permissions, encryption where appropriate, and exclusion of PII from logs, analytics, public projections, and ordinary audit metadata.</w:t>
      </w:r>
    </w:p>
    <w:p>
      <w:pPr>
        <w:pStyle w:val="Heading1"/>
      </w:pPr>
      <w:r>
        <w:t>2. Exact Location / Privacy Model</w:t>
      </w:r>
    </w:p>
    <w:p>
      <w:r>
        <w:t>The platform must distinguish three concepts:</w:t>
      </w:r>
    </w:p>
    <w:p>
      <w:r>
        <w:t>1. Citizen-submitted location</w:t>
      </w:r>
    </w:p>
    <w:p>
      <w:r>
        <w:t>2. Operational location</w:t>
      </w:r>
    </w:p>
    <w:p>
      <w:r>
        <w:t>3. Public location</w:t>
      </w:r>
    </w:p>
    <w:p>
      <w:r>
        <w:t>Citizen-submitted location may contain GPS coordinates, map-selected location, or a location description. Operational location normalizes the information into geography and coordinates for routing, authority assignment, dashboards, duplicate detection, and analytics.</w:t>
      </w:r>
    </w:p>
    <w:p>
      <w:r>
        <w:t>Public location must be generalized and must not simply expose the exact coordinate.</w:t>
      </w:r>
    </w:p>
    <w:p>
      <w:pPr>
        <w:pStyle w:val="Heading1"/>
      </w:pPr>
      <w:r>
        <w:t>3. Proposed Location Model</w:t>
      </w:r>
    </w:p>
    <w:p>
      <w:r>
        <w:t>Conceptually, a complaint has:</w:t>
      </w:r>
    </w:p>
    <w:p>
      <w:pPr>
        <w:pStyle w:val="ListBullet"/>
      </w:pPr>
      <w:r>
        <w:t>submitted location</w:t>
      </w:r>
    </w:p>
    <w:p>
      <w:pPr>
        <w:pStyle w:val="ListBullet"/>
      </w:pPr>
      <w:r>
        <w:t>operational location</w:t>
      </w:r>
    </w:p>
    <w:p>
      <w:pPr>
        <w:pStyle w:val="ListBullet"/>
      </w:pPr>
      <w:r>
        <w:t>public-location exposure policy</w:t>
      </w:r>
    </w:p>
    <w:p>
      <w:r>
        <w:t>Avoid duplicating three complete location objects. Maintain the operational location with exact geometry, geographic-area reference, accuracy, and exposure policy; derive the safe public representation in the transparency projection.</w:t>
      </w:r>
    </w:p>
    <w:p>
      <w:pPr>
        <w:pStyle w:val="Heading1"/>
      </w:pPr>
      <w:r>
        <w:t>4. Location Exposure Policy</w:t>
      </w:r>
    </w:p>
    <w:p>
      <w:r>
        <w:t>Proposed exposure values:</w:t>
      </w:r>
    </w:p>
    <w:p>
      <w:pPr>
        <w:pStyle w:val="ListBullet"/>
      </w:pPr>
      <w:r>
        <w:t>EXACT</w:t>
      </w:r>
    </w:p>
    <w:p>
      <w:pPr>
        <w:pStyle w:val="ListBullet"/>
      </w:pPr>
      <w:r>
        <w:t>AREA</w:t>
      </w:r>
    </w:p>
    <w:p>
      <w:pPr>
        <w:pStyle w:val="ListBullet"/>
      </w:pPr>
      <w:r>
        <w:t>WARD</w:t>
      </w:r>
    </w:p>
    <w:p>
      <w:pPr>
        <w:pStyle w:val="ListBullet"/>
      </w:pPr>
      <w:r>
        <w:t>CITY</w:t>
      </w:r>
    </w:p>
    <w:p>
      <w:pPr>
        <w:pStyle w:val="ListBullet"/>
      </w:pPr>
      <w:r>
        <w:t>HIDDEN</w:t>
      </w:r>
    </w:p>
    <w:p>
      <w:r>
        <w:t>Examples:</w:t>
      </w:r>
    </w:p>
    <w:p>
      <w:pPr>
        <w:pStyle w:val="ListBullet"/>
      </w:pPr>
      <w:r>
        <w:t>Pothole → approximate area</w:t>
      </w:r>
    </w:p>
    <w:p>
      <w:pPr>
        <w:pStyle w:val="ListBullet"/>
      </w:pPr>
      <w:r>
        <w:t>Damaged road → ward/road segment</w:t>
      </w:r>
    </w:p>
    <w:p>
      <w:pPr>
        <w:pStyle w:val="ListBullet"/>
      </w:pPr>
      <w:r>
        <w:t>Illegal dumping → approximate area</w:t>
      </w:r>
    </w:p>
    <w:p>
      <w:pPr>
        <w:pStyle w:val="ListBullet"/>
      </w:pPr>
      <w:r>
        <w:t>School infrastructure → school/location area</w:t>
      </w:r>
    </w:p>
    <w:p>
      <w:pPr>
        <w:pStyle w:val="ListBullet"/>
      </w:pPr>
      <w:r>
        <w:t>Residential or sensitive complaints → hidden/generalized</w:t>
      </w:r>
    </w:p>
    <w:p>
      <w:r>
        <w:t>The exposure policy should eventually be configurable.</w:t>
      </w:r>
    </w:p>
    <w:p>
      <w:r>
        <w:t>Final decision: exact location remains operational/private; public location is generated through an explicit exposure policy.</w:t>
      </w:r>
    </w:p>
    <w:p>
      <w:pPr>
        <w:pStyle w:val="Heading1"/>
      </w:pPr>
      <w:r>
        <w:t>5. Complaint vs Workflow — Who Owns Current Status?</w:t>
      </w:r>
    </w:p>
    <w:p>
      <w:r>
        <w:t>Decision: Workflow owns current status.</w:t>
      </w:r>
    </w:p>
    <w:p>
      <w:r>
        <w:t>The Complaint aggregate describes the civic issue. The Workflow aggregate describes its lifecycle. Do not maintain both complaint.status and workflow.current_state as competing sources of truth.</w:t>
      </w:r>
    </w:p>
    <w:p>
      <w:r>
        <w:t>The Workflow aggregate contains current_state and transition_history. If performance later requires faster status queries, use a read projection rather than duplicating domain ownership.</w:t>
      </w:r>
    </w:p>
    <w:p>
      <w:r>
        <w:t>Final decision: Workflow is the sole source of truth for complaint lifecycle state.</w:t>
      </w:r>
    </w:p>
    <w:p>
      <w:pPr>
        <w:pStyle w:val="Heading1"/>
      </w:pPr>
      <w:r>
        <w:t>6. Routing Rule Precedence</w:t>
      </w:r>
    </w:p>
    <w:p>
      <w:r>
        <w:t>Routing must be deterministic.</w:t>
      </w:r>
    </w:p>
    <w:p>
      <w:r>
        <w:t>Proposed specificity ordering:</w:t>
      </w:r>
    </w:p>
    <w:p>
      <w:pPr>
        <w:pStyle w:val="ListBullet"/>
      </w:pPr>
      <w:r>
        <w:t>Ward + Subcategory + Severity</w:t>
      </w:r>
    </w:p>
    <w:p>
      <w:pPr>
        <w:pStyle w:val="ListBullet"/>
      </w:pPr>
      <w:r>
        <w:t>City + Subcategory + Severity</w:t>
      </w:r>
    </w:p>
    <w:p>
      <w:pPr>
        <w:pStyle w:val="ListBullet"/>
      </w:pPr>
      <w:r>
        <w:t>City + Category</w:t>
      </w:r>
    </w:p>
    <w:p>
      <w:pPr>
        <w:pStyle w:val="ListBullet"/>
      </w:pPr>
      <w:r>
        <w:t>State + Category</w:t>
      </w:r>
    </w:p>
    <w:p>
      <w:pPr>
        <w:pStyle w:val="ListBullet"/>
      </w:pPr>
      <w:r>
        <w:t>State</w:t>
      </w:r>
    </w:p>
    <w:p>
      <w:pPr>
        <w:pStyle w:val="ListBullet"/>
      </w:pPr>
      <w:r>
        <w:t>Default</w:t>
      </w:r>
    </w:p>
    <w:p>
      <w:r>
        <w:t>Specificity should be evaluated first; explicit rule priority should be used as the tie-breaker.</w:t>
      </w:r>
    </w:p>
    <w:p>
      <w:r>
        <w:t>Every routing decision should record the selected rule, decision timestamp, authority, and department so that the platform can explain why a complaint was routed to a particular destination.</w:t>
      </w:r>
    </w:p>
    <w:p>
      <w:pPr>
        <w:pStyle w:val="Heading1"/>
      </w:pPr>
      <w:r>
        <w:t>7. Routing Decision Algorithm</w:t>
      </w:r>
    </w:p>
    <w:p>
      <w:r>
        <w:t>Conceptual flow:</w:t>
      </w:r>
    </w:p>
    <w:p>
      <w:r>
        <w:t>Complaint → Geography + Category + Subcategory + Severity → Find matching rules → Calculate specificity → Apply priority → Select rule → Authority + Department.</w:t>
      </w:r>
    </w:p>
    <w:p>
      <w:r>
        <w:t>Final decision: deterministic specificity-first routing with explicit priority as tie-breaker.</w:t>
      </w:r>
    </w:p>
    <w:p>
      <w:pPr>
        <w:pStyle w:val="Heading1"/>
      </w:pPr>
      <w:r>
        <w:t>8. SLA Calendar / Time Calculation</w:t>
      </w:r>
    </w:p>
    <w:p>
      <w:r>
        <w:t>Three possible models were considered:</w:t>
      </w:r>
    </w:p>
    <w:p>
      <w:pPr>
        <w:pStyle w:val="ListBullet"/>
      </w:pPr>
      <w:r>
        <w:t>24×7 elapsed time</w:t>
      </w:r>
    </w:p>
    <w:p>
      <w:pPr>
        <w:pStyle w:val="ListBullet"/>
      </w:pPr>
      <w:r>
        <w:t>business hours</w:t>
      </w:r>
    </w:p>
    <w:p>
      <w:pPr>
        <w:pStyle w:val="ListBullet"/>
      </w:pPr>
      <w:r>
        <w:t>configurable authority calendar</w:t>
      </w:r>
    </w:p>
    <w:p>
      <w:r>
        <w:t>Recommended V1: elapsed calendar time.</w:t>
      </w:r>
    </w:p>
    <w:p>
      <w:r>
        <w:t>The SLA policy should nevertheless contain a time-calculation mode so that business-time calendars can be introduced later.</w:t>
      </w:r>
    </w:p>
    <w:p>
      <w:r>
        <w:t>V1 implements ELAPSED_TIME; BUSINESS_TIME remains a future extension.</w:t>
      </w:r>
    </w:p>
    <w:p>
      <w:pPr>
        <w:pStyle w:val="Heading1"/>
      </w:pPr>
      <w:r>
        <w:t>9. SLA + ON_HOLD</w:t>
      </w:r>
    </w:p>
    <w:p>
      <w:r>
        <w:t>The SLA policy determines whether ON_HOLD pauses the SLA clock.</w:t>
      </w:r>
    </w:p>
    <w:p>
      <w:r>
        <w:t>Conceptually:</w:t>
      </w:r>
    </w:p>
    <w:p>
      <w:r>
        <w:t>sla_policy → hold_pauses_sla</w:t>
      </w:r>
    </w:p>
    <w:p>
      <w:r>
        <w:t>This allows different policies for different categories or operational situations.</w:t>
      </w:r>
    </w:p>
    <w:p>
      <w:r>
        <w:t>Final decision: elapsed-time SLA in V1, with policy-controlled hold behaviour and future support for business calendars.</w:t>
      </w:r>
    </w:p>
    <w:p>
      <w:pPr>
        <w:pStyle w:val="Heading1"/>
      </w:pPr>
      <w:r>
        <w:t>10. Public Projection Consistency</w:t>
      </w:r>
    </w:p>
    <w:p>
      <w:r>
        <w:t>Decision: the public dashboard should not query operational tables directly.</w:t>
      </w:r>
    </w:p>
    <w:p>
      <w:r>
        <w:t>Use:</w:t>
      </w:r>
    </w:p>
    <w:p>
      <w:r>
        <w:t>Domain → Domain Event → Public Projection → Public API.</w:t>
      </w:r>
    </w:p>
    <w:p>
      <w:r>
        <w:t>Public transparency is therefore eventually consistent. This creates a strong privacy boundary, enables dashboard-specific optimization and caching, and reduces load on operational queries.</w:t>
      </w:r>
    </w:p>
    <w:p>
      <w:pPr>
        <w:pStyle w:val="Heading1"/>
      </w:pPr>
      <w:r>
        <w:t>11. Analytics Consistency</w:t>
      </w:r>
    </w:p>
    <w:p>
      <w:r>
        <w:t>Analytics follows the same event-driven projection model:</w:t>
      </w:r>
    </w:p>
    <w:p>
      <w:r>
        <w:t>Operational domain → domain events → analytics projections.</w:t>
      </w:r>
    </w:p>
    <w:p>
      <w:r>
        <w:t>Analytics does not participate in the transaction that updates a complaint. The operational transaction commits first; events then update analytics projections.</w:t>
      </w:r>
    </w:p>
    <w:p>
      <w:r>
        <w:t>This keeps analytics concerns separate from operational business transactions.</w:t>
      </w:r>
    </w:p>
    <w:p>
      <w:pPr>
        <w:pStyle w:val="Heading1"/>
      </w:pPr>
      <w:r>
        <w:t>12. Audit Immutability</w:t>
      </w:r>
    </w:p>
    <w:p>
      <w:r>
        <w:t>Audit records are treated as append-only.</w:t>
      </w:r>
    </w:p>
    <w:p>
      <w:r>
        <w:t>An ordinary application user should not have UPDATE or DELETE capability on audit records. The audit schema should be protected through database privileges, with application access limited to INSERT where appropriate.</w:t>
      </w:r>
    </w:p>
    <w:p>
      <w:r>
        <w:t>For stronger future assurance, audit events can be exported to append-only or WORM-style archival storage.</w:t>
      </w:r>
    </w:p>
    <w:p>
      <w:r>
        <w:t>V1 decision: append-only PostgreSQL audit store with restricted database privileges.</w:t>
      </w:r>
    </w:p>
    <w:p>
      <w:pPr>
        <w:pStyle w:val="Heading1"/>
      </w:pPr>
      <w:r>
        <w:t>13. Final Part 2A Decisions</w:t>
      </w:r>
    </w:p>
    <w:p>
      <w:r>
        <w:t>The seven major open areas are now frozen as follows:</w:t>
      </w:r>
    </w:p>
    <w:p>
      <w:pPr>
        <w:pStyle w:val="ListBullet"/>
      </w:pPr>
      <w:r>
        <w:t>PII isolation → separate citizen schema</w:t>
      </w:r>
    </w:p>
    <w:p>
      <w:pPr>
        <w:pStyle w:val="ListBullet"/>
      </w:pPr>
      <w:r>
        <w:t>PII protection → authorization + restricted DB access + encryption where appropriate</w:t>
      </w:r>
    </w:p>
    <w:p>
      <w:pPr>
        <w:pStyle w:val="ListBullet"/>
      </w:pPr>
      <w:r>
        <w:t>Exact location → private/operational</w:t>
      </w:r>
    </w:p>
    <w:p>
      <w:pPr>
        <w:pStyle w:val="ListBullet"/>
      </w:pPr>
      <w:r>
        <w:t>Public location → generalized through exposure policy</w:t>
      </w:r>
    </w:p>
    <w:p>
      <w:pPr>
        <w:pStyle w:val="ListBullet"/>
      </w:pPr>
      <w:r>
        <w:t>Workflow status → Workflow owns current state</w:t>
      </w:r>
    </w:p>
    <w:p>
      <w:pPr>
        <w:pStyle w:val="ListBullet"/>
      </w:pPr>
      <w:r>
        <w:t>Status duplication → avoided</w:t>
      </w:r>
    </w:p>
    <w:p>
      <w:pPr>
        <w:pStyle w:val="ListBullet"/>
      </w:pPr>
      <w:r>
        <w:t>Routing → specificity-first + priority tie-breaker</w:t>
      </w:r>
    </w:p>
    <w:p>
      <w:pPr>
        <w:pStyle w:val="ListBullet"/>
      </w:pPr>
      <w:r>
        <w:t>Routing traceability → persist routing decision</w:t>
      </w:r>
    </w:p>
    <w:p>
      <w:pPr>
        <w:pStyle w:val="ListBullet"/>
      </w:pPr>
      <w:r>
        <w:t>SLA → elapsed time in V1</w:t>
      </w:r>
    </w:p>
    <w:p>
      <w:pPr>
        <w:pStyle w:val="ListBullet"/>
      </w:pPr>
      <w:r>
        <w:t>SLA hold → policy-controlled</w:t>
      </w:r>
    </w:p>
    <w:p>
      <w:pPr>
        <w:pStyle w:val="ListBullet"/>
      </w:pPr>
      <w:r>
        <w:t>Business calendar → future extension</w:t>
      </w:r>
    </w:p>
    <w:p>
      <w:pPr>
        <w:pStyle w:val="ListBullet"/>
      </w:pPr>
      <w:r>
        <w:t>Public dashboard → read projection</w:t>
      </w:r>
    </w:p>
    <w:p>
      <w:pPr>
        <w:pStyle w:val="ListBullet"/>
      </w:pPr>
      <w:r>
        <w:t>Public consistency → eventually consistent</w:t>
      </w:r>
    </w:p>
    <w:p>
      <w:pPr>
        <w:pStyle w:val="ListBullet"/>
      </w:pPr>
      <w:r>
        <w:t>Analytics → event-driven projection</w:t>
      </w:r>
    </w:p>
    <w:p>
      <w:pPr>
        <w:pStyle w:val="ListBullet"/>
      </w:pPr>
      <w:r>
        <w:t>Audit → append-only</w:t>
      </w:r>
    </w:p>
    <w:p>
      <w:pPr>
        <w:pStyle w:val="ListBullet"/>
      </w:pPr>
      <w:r>
        <w:t>Audit DB mutation → restricted</w:t>
      </w:r>
    </w:p>
    <w:p>
      <w:pPr>
        <w:pStyle w:val="ListBullet"/>
      </w:pPr>
      <w:r>
        <w:t>Media → object storage</w:t>
      </w:r>
    </w:p>
    <w:p>
      <w:pPr>
        <w:pStyle w:val="ListBullet"/>
      </w:pPr>
      <w:r>
        <w:t>Media public exposure → sanitized/public derivative</w:t>
      </w:r>
    </w:p>
    <w:p>
      <w:pPr>
        <w:pStyle w:val="Heading1"/>
      </w:pPr>
      <w:r>
        <w:t>14. Updated Logical Architecture</w:t>
      </w:r>
    </w:p>
    <w:p>
      <w:r>
        <w:t>The database now aligns with the domain architecture:</w:t>
      </w:r>
    </w:p>
    <w:p>
      <w:r>
        <w:t>Identity → Citizen PII → private reference → Operational Domain.</w:t>
      </w:r>
    </w:p>
    <w:p>
      <w:r>
        <w:t>Operational Domain contains:</w:t>
      </w:r>
    </w:p>
    <w:p>
      <w:pPr>
        <w:pStyle w:val="ListBullet"/>
      </w:pPr>
      <w:r>
        <w:t>Complaint</w:t>
      </w:r>
    </w:p>
    <w:p>
      <w:pPr>
        <w:pStyle w:val="ListBullet"/>
      </w:pPr>
      <w:r>
        <w:t>Workflow</w:t>
      </w:r>
    </w:p>
    <w:p>
      <w:pPr>
        <w:pStyle w:val="ListBullet"/>
      </w:pPr>
      <w:r>
        <w:t>Routing</w:t>
      </w:r>
    </w:p>
    <w:p>
      <w:pPr>
        <w:pStyle w:val="ListBullet"/>
      </w:pPr>
      <w:r>
        <w:t>Authority</w:t>
      </w:r>
    </w:p>
    <w:p>
      <w:pPr>
        <w:pStyle w:val="ListBullet"/>
      </w:pPr>
      <w:r>
        <w:t>SLA</w:t>
      </w:r>
    </w:p>
    <w:p>
      <w:pPr>
        <w:pStyle w:val="ListBullet"/>
      </w:pPr>
      <w:r>
        <w:t>Evidence</w:t>
      </w:r>
    </w:p>
    <w:p>
      <w:pPr>
        <w:pStyle w:val="ListBullet"/>
      </w:pPr>
      <w:r>
        <w:t>Audit</w:t>
      </w:r>
    </w:p>
    <w:p>
      <w:r>
        <w:t>Domain events feed:</w:t>
      </w:r>
    </w:p>
    <w:p>
      <w:pPr>
        <w:pStyle w:val="ListBullet"/>
      </w:pPr>
      <w:r>
        <w:t>Transparency Projection</w:t>
      </w:r>
    </w:p>
    <w:p>
      <w:pPr>
        <w:pStyle w:val="ListBullet"/>
      </w:pPr>
      <w:r>
        <w:t>Analytics Projection</w:t>
      </w:r>
    </w:p>
    <w:p>
      <w:pPr>
        <w:pStyle w:val="ListBullet"/>
      </w:pPr>
      <w:r>
        <w:t>Notification</w:t>
      </w:r>
    </w:p>
    <w:p>
      <w:r>
        <w:t>The Public Dashboard reads from the transparency projection rather than directly from operational tables.</w:t>
      </w:r>
    </w:p>
    <w:p>
      <w:pPr>
        <w:pStyle w:val="Heading1"/>
      </w:pPr>
      <w:r>
        <w:t>15. Important Refinement — Domain Relationships vs Database Foreign Keys</w:t>
      </w:r>
    </w:p>
    <w:p>
      <w:r>
        <w:t>Domain relationships do not automatically imply that every cross-module relationship should become a direct database foreign key.</w:t>
      </w:r>
    </w:p>
    <w:p>
      <w:r>
        <w:t>For example, Complaint → Citizen is a domain reference. The design should not encourage arbitrary joins from complaint data into PII.</w:t>
      </w:r>
    </w:p>
    <w:p>
      <w:r>
        <w:t>Similarly, Complaint → Authority may be represented through routing/assignment references rather than unrestricted cross-module database access.</w:t>
      </w:r>
    </w:p>
    <w:p>
      <w:r>
        <w:t>Application modules remain responsible for enforcing business boundaries. This preserves the ability to extract modules into services later if that ever becomes necessary.</w:t>
      </w:r>
    </w:p>
    <w:p>
      <w:pPr>
        <w:pStyle w:val="Heading1"/>
      </w:pPr>
      <w:r>
        <w:t>16. Database Implementation Boundary</w:t>
      </w:r>
    </w:p>
    <w:p>
      <w:r>
        <w:t>The database is initially one PostgreSQL database with logical module/schema separation.</w:t>
      </w:r>
    </w:p>
    <w:p>
      <w:r>
        <w:t>The recommended conceptual schemas are:</w:t>
      </w:r>
    </w:p>
    <w:p>
      <w:r>
        <w:t>identity, citizen, geography, complaint, workflow, evidence, moderation, authority, routing, sla, notification, audit, transparency, analytics, administration.</w:t>
      </w:r>
    </w:p>
    <w:p>
      <w:r>
        <w:t>PostgreSQL schemas support boundaries but do not replace the application-level modular architecture.</w:t>
      </w:r>
    </w:p>
    <w:p>
      <w:pPr>
        <w:pStyle w:val="Heading1"/>
      </w:pPr>
      <w:r>
        <w:t>17. Media Storage Boundary</w:t>
      </w:r>
    </w:p>
    <w:p>
      <w:r>
        <w:t>The database stores media metadata, storage references, validation state, moderation state, checksum, file size and related metadata.</w:t>
      </w:r>
    </w:p>
    <w:p>
      <w:r>
        <w:t>The actual image/video bytes remain in object storage.</w:t>
      </w:r>
    </w:p>
    <w:p>
      <w:r>
        <w:t>For public publication, use a sanitized/public media derivative rather than exposing the original private object directly. This allows metadata stripping, resizing, content controls, revocation and safer public access.</w:t>
      </w:r>
    </w:p>
    <w:p>
      <w:pPr>
        <w:pStyle w:val="Heading1"/>
      </w:pPr>
      <w:r>
        <w:t>18. Primary Key, Timestamp, Concurrency and Deletion Principles</w:t>
      </w:r>
    </w:p>
    <w:p>
      <w:r>
        <w:t>Primary keys: UUID-oriented for major entities, with separate human-readable public complaint references.</w:t>
      </w:r>
    </w:p>
    <w:p>
      <w:r>
        <w:t>Timestamps: store internally in UTC using timestamp-with-time-zone semantics.</w:t>
      </w:r>
    </w:p>
    <w:p>
      <w:r>
        <w:t>Concurrency: use optimistic locking/version fields on important aggregates such as Workflow, Complaint where applicable, Authority and configuration.</w:t>
      </w:r>
    </w:p>
    <w:p>
      <w:r>
        <w:t>Deletion: do not apply soft delete universally. Complaint, audit, configuration and media each have domain-specific retention/deletion rules.</w:t>
      </w:r>
    </w:p>
    <w:p>
      <w:pPr>
        <w:pStyle w:val="Heading1"/>
      </w:pPr>
      <w:r>
        <w:t>19. Part 2B — Next Deliverable</w:t>
      </w:r>
    </w:p>
    <w:p>
      <w:r>
        <w:t>Part 2A is now ready to be converted into the implementation-level database specification.</w:t>
      </w:r>
    </w:p>
    <w:p>
      <w:r>
        <w:t>The next document should be Part 2B — Complete ER Model + Data Dictionary, covering every table with:</w:t>
      </w:r>
    </w:p>
    <w:p>
      <w:pPr>
        <w:pStyle w:val="ListBullet"/>
      </w:pPr>
      <w:r>
        <w:t>table name</w:t>
      </w:r>
    </w:p>
    <w:p>
      <w:pPr>
        <w:pStyle w:val="ListBullet"/>
      </w:pPr>
      <w:r>
        <w:t>purpose</w:t>
      </w:r>
    </w:p>
    <w:p>
      <w:pPr>
        <w:pStyle w:val="ListBullet"/>
      </w:pPr>
      <w:r>
        <w:t>schema/module</w:t>
      </w:r>
    </w:p>
    <w:p>
      <w:pPr>
        <w:pStyle w:val="ListBullet"/>
      </w:pPr>
      <w:r>
        <w:t>column name</w:t>
      </w:r>
    </w:p>
    <w:p>
      <w:pPr>
        <w:pStyle w:val="ListBullet"/>
      </w:pPr>
      <w:r>
        <w:t>datatype</w:t>
      </w:r>
    </w:p>
    <w:p>
      <w:pPr>
        <w:pStyle w:val="ListBullet"/>
      </w:pPr>
      <w:r>
        <w:t>nullable/not-null</w:t>
      </w:r>
    </w:p>
    <w:p>
      <w:pPr>
        <w:pStyle w:val="ListBullet"/>
      </w:pPr>
      <w:r>
        <w:t>default</w:t>
      </w:r>
    </w:p>
    <w:p>
      <w:pPr>
        <w:pStyle w:val="ListBullet"/>
      </w:pPr>
      <w:r>
        <w:t>primary key</w:t>
      </w:r>
    </w:p>
    <w:p>
      <w:pPr>
        <w:pStyle w:val="ListBullet"/>
      </w:pPr>
      <w:r>
        <w:t>foreign key</w:t>
      </w:r>
    </w:p>
    <w:p>
      <w:pPr>
        <w:pStyle w:val="ListBullet"/>
      </w:pPr>
      <w:r>
        <w:t>unique constraints</w:t>
      </w:r>
    </w:p>
    <w:p>
      <w:pPr>
        <w:pStyle w:val="ListBullet"/>
      </w:pPr>
      <w:r>
        <w:t>indexes</w:t>
      </w:r>
    </w:p>
    <w:p>
      <w:pPr>
        <w:pStyle w:val="ListBullet"/>
      </w:pPr>
      <w:r>
        <w:t>PII/sensitivity classification</w:t>
      </w:r>
    </w:p>
    <w:p>
      <w:pPr>
        <w:pStyle w:val="ListBullet"/>
      </w:pPr>
      <w:r>
        <w:t>description</w:t>
      </w:r>
    </w:p>
    <w:p>
      <w:r>
        <w:t>It should also contain the final consolidated ER diagram and the basis for SQL migration scripts.</w:t>
      </w:r>
    </w:p>
    <w:p>
      <w:pPr>
        <w:pStyle w:val="Heading1"/>
      </w:pPr>
      <w:r>
        <w:t>Part 2A — Decision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Area</w:t>
            </w:r>
          </w:p>
        </w:tc>
        <w:tc>
          <w:tcPr>
            <w:tcW w:type="dxa" w:w="4968"/>
          </w:tcPr>
          <w:p>
            <w:r>
              <w:t>Final V1 Decision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Database</w:t>
            </w:r>
          </w:p>
        </w:tc>
        <w:tc>
          <w:tcPr>
            <w:tcW w:type="dxa" w:w="4968"/>
            <w:vAlign w:val="center"/>
          </w:tcPr>
          <w:p>
            <w:r>
              <w:t>One PostgreSQL database initially</w:t>
            </w:r>
          </w:p>
        </w:tc>
      </w:tr>
      <w:tr>
        <w:tc>
          <w:tcPr>
            <w:tcW w:type="dxa" w:w="4968"/>
            <w:vAlign w:val="center"/>
          </w:tcPr>
          <w:p>
            <w:r>
              <w:t>GIS</w:t>
            </w:r>
          </w:p>
        </w:tc>
        <w:tc>
          <w:tcPr>
            <w:tcW w:type="dxa" w:w="4968"/>
            <w:vAlign w:val="center"/>
          </w:tcPr>
          <w:p>
            <w:r>
              <w:t>PostGIS</w:t>
            </w:r>
          </w:p>
        </w:tc>
      </w:tr>
      <w:tr>
        <w:tc>
          <w:tcPr>
            <w:tcW w:type="dxa" w:w="4968"/>
            <w:vAlign w:val="center"/>
          </w:tcPr>
          <w:p>
            <w:r>
              <w:t>PII</w:t>
            </w:r>
          </w:p>
        </w:tc>
        <w:tc>
          <w:tcPr>
            <w:tcW w:type="dxa" w:w="4968"/>
            <w:vAlign w:val="center"/>
          </w:tcPr>
          <w:p>
            <w:r>
              <w:t>Separate citizen schema; controlled access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Complaint status</w:t>
            </w:r>
          </w:p>
        </w:tc>
        <w:tc>
          <w:tcPr>
            <w:tcW w:type="dxa" w:w="4968"/>
            <w:vAlign w:val="center"/>
          </w:tcPr>
          <w:p>
            <w:r>
              <w:t>Owned by Workflow</w:t>
            </w:r>
          </w:p>
        </w:tc>
      </w:tr>
      <w:tr>
        <w:tc>
          <w:tcPr>
            <w:tcW w:type="dxa" w:w="4968"/>
            <w:vAlign w:val="center"/>
          </w:tcPr>
          <w:p>
            <w:r>
              <w:t>Location</w:t>
            </w:r>
          </w:p>
        </w:tc>
        <w:tc>
          <w:tcPr>
            <w:tcW w:type="dxa" w:w="4968"/>
            <w:vAlign w:val="center"/>
          </w:tcPr>
          <w:p>
            <w:r>
              <w:t>Private exact/operational location + generalized public projection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Routing</w:t>
            </w:r>
          </w:p>
        </w:tc>
        <w:tc>
          <w:tcPr>
            <w:tcW w:type="dxa" w:w="4968"/>
            <w:vAlign w:val="center"/>
          </w:tcPr>
          <w:p>
            <w:r>
              <w:t>Specificity-first; priority tie-breaker</w:t>
            </w:r>
          </w:p>
        </w:tc>
      </w:tr>
      <w:tr>
        <w:tc>
          <w:tcPr>
            <w:tcW w:type="dxa" w:w="4968"/>
            <w:vAlign w:val="center"/>
          </w:tcPr>
          <w:p>
            <w:r>
              <w:t>SLA</w:t>
            </w:r>
          </w:p>
        </w:tc>
        <w:tc>
          <w:tcPr>
            <w:tcW w:type="dxa" w:w="4968"/>
            <w:vAlign w:val="center"/>
          </w:tcPr>
          <w:p>
            <w:r>
              <w:t>Elapsed time in V1; hold behaviour configurable</w:t>
            </w:r>
          </w:p>
        </w:tc>
      </w:tr>
      <w:tr>
        <w:tc>
          <w:tcPr>
            <w:tcW w:type="dxa" w:w="4968"/>
            <w:vAlign w:val="center"/>
          </w:tcPr>
          <w:p>
            <w:r>
              <w:t>Public dashboard</w:t>
            </w:r>
          </w:p>
        </w:tc>
        <w:tc>
          <w:tcPr>
            <w:tcW w:type="dxa" w:w="4968"/>
            <w:vAlign w:val="center"/>
          </w:tcPr>
          <w:p>
            <w:r>
              <w:t>Asynchronous read projection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Analytics</w:t>
            </w:r>
          </w:p>
        </w:tc>
        <w:tc>
          <w:tcPr>
            <w:tcW w:type="dxa" w:w="4968"/>
            <w:vAlign w:val="center"/>
          </w:tcPr>
          <w:p>
            <w:r>
              <w:t>Event-driven projections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</w:t>
            </w:r>
          </w:p>
        </w:tc>
        <w:tc>
          <w:tcPr>
            <w:tcW w:type="dxa" w:w="4968"/>
            <w:vAlign w:val="center"/>
          </w:tcPr>
          <w:p>
            <w:r>
              <w:t>Append-only PostgreSQL store with restricted mutation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Media</w:t>
            </w:r>
          </w:p>
        </w:tc>
        <w:tc>
          <w:tcPr>
            <w:tcW w:type="dxa" w:w="4968"/>
            <w:vAlign w:val="center"/>
          </w:tcPr>
          <w:p>
            <w:r>
              <w:t>Object storage for bytes; DB stores metadata</w:t>
            </w:r>
          </w:p>
        </w:tc>
      </w:tr>
      <w:tr>
        <w:tc>
          <w:tcPr>
            <w:tcW w:type="dxa" w:w="4968"/>
            <w:vAlign w:val="center"/>
          </w:tcPr>
          <w:p>
            <w:r>
              <w:t>IDs</w:t>
            </w:r>
          </w:p>
        </w:tc>
        <w:tc>
          <w:tcPr>
            <w:tcW w:type="dxa" w:w="4968"/>
            <w:vAlign w:val="center"/>
          </w:tcPr>
          <w:p>
            <w:r>
              <w:t>UUID-oriented internal IDs + separate public references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Concurrency</w:t>
            </w:r>
          </w:p>
        </w:tc>
        <w:tc>
          <w:tcPr>
            <w:tcW w:type="dxa" w:w="4968"/>
            <w:vAlign w:val="center"/>
          </w:tcPr>
          <w:p>
            <w:r>
              <w:t>Optimistic locking where required</w:t>
            </w:r>
          </w:p>
        </w:tc>
      </w:tr>
      <w:tr>
        <w:tc>
          <w:tcPr>
            <w:tcW w:type="dxa" w:w="4968"/>
            <w:vAlign w:val="center"/>
          </w:tcPr>
          <w:p>
            <w:r>
              <w:t>Deletion</w:t>
            </w:r>
          </w:p>
        </w:tc>
        <w:tc>
          <w:tcPr>
            <w:tcW w:type="dxa" w:w="4968"/>
            <w:vAlign w:val="center"/>
          </w:tcPr>
          <w:p>
            <w:r>
              <w:t>Domain-specific; no universal soft-delete rule</w:t>
            </w:r>
          </w:p>
        </w:tc>
      </w:tr>
      <w:tr>
        <w:tc>
          <w:tcPr>
            <w:tcW w:type="dxa" w:w="4968"/>
            <w:vAlign w:val="center"/>
          </w:tcPr>
          <w:p>
            <w:r>
              <w:t>Future portability</w:t>
            </w:r>
          </w:p>
        </w:tc>
        <w:tc>
          <w:tcPr>
            <w:tcW w:type="dxa" w:w="4968"/>
            <w:vAlign w:val="center"/>
          </w:tcPr>
          <w:p>
            <w:r>
              <w:t>Logical boundaries designed for later service extraction</w:t>
            </w:r>
          </w:p>
        </w:tc>
      </w:tr>
    </w:tbl>
    <w:p/>
    <w:p>
      <w:r>
        <w:rPr>
          <w:b/>
        </w:rPr>
        <w:t xml:space="preserve">Status: </w:t>
      </w:r>
      <w:r>
        <w:t>Part 2A database design review completed. Ready for Part 2B — Complete ER Model + Data Dictionary.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