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221A" w:rsidRDefault="00AC221A" w:rsidP="00AC221A">
      <w:pPr>
        <w:rPr>
          <w:rFonts w:ascii="Algerian" w:hAnsi="Algerian"/>
          <w:color w:val="00B050"/>
          <w:sz w:val="40"/>
          <w:szCs w:val="40"/>
        </w:rPr>
      </w:pPr>
      <w:bookmarkStart w:id="0" w:name="_Hlk133655388"/>
      <w:bookmarkEnd w:id="0"/>
      <w:r w:rsidRPr="00491185">
        <w:rPr>
          <w:rFonts w:ascii="Algerian" w:hAnsi="Algerian"/>
          <w:color w:val="00B050"/>
          <w:sz w:val="40"/>
          <w:szCs w:val="40"/>
        </w:rPr>
        <w:t>CSA1580-CLOUD COMPUTING FOR BIG DATA ANALYITCS FOR COMPUTING RESOURCES</w:t>
      </w:r>
    </w:p>
    <w:p w:rsidR="00AC221A" w:rsidRDefault="00AC221A" w:rsidP="00AC221A">
      <w:pPr>
        <w:rPr>
          <w:rFonts w:ascii="Algerian" w:hAnsi="Algerian"/>
          <w:color w:val="00B050"/>
          <w:sz w:val="40"/>
          <w:szCs w:val="40"/>
        </w:rPr>
      </w:pPr>
    </w:p>
    <w:p w:rsidR="00AC221A" w:rsidRPr="00AC221A" w:rsidRDefault="00AC221A">
      <w:pPr>
        <w:rPr>
          <w:rFonts w:ascii="Algerian" w:hAnsi="Algerian"/>
          <w:color w:val="00B0F0"/>
          <w:sz w:val="40"/>
          <w:szCs w:val="40"/>
        </w:rPr>
      </w:pPr>
      <w:r>
        <w:rPr>
          <w:rFonts w:ascii="Algerian" w:hAnsi="Algerian"/>
          <w:color w:val="00B0F0"/>
          <w:sz w:val="40"/>
          <w:szCs w:val="40"/>
        </w:rPr>
        <w:t>3</w:t>
      </w:r>
      <w:r w:rsidRPr="00CD4391">
        <w:rPr>
          <w:rFonts w:ascii="Algerian" w:hAnsi="Algerian"/>
          <w:color w:val="00B0F0"/>
          <w:sz w:val="40"/>
          <w:szCs w:val="40"/>
        </w:rPr>
        <w:t>.</w:t>
      </w:r>
      <w:r>
        <w:rPr>
          <w:rFonts w:ascii="Algerian" w:hAnsi="Algerian"/>
          <w:color w:val="00B0F0"/>
          <w:sz w:val="40"/>
          <w:szCs w:val="40"/>
        </w:rPr>
        <w:t>PROPERTY BUYING</w:t>
      </w:r>
    </w:p>
    <w:p w:rsidR="00AC221A" w:rsidRDefault="00AC221A">
      <w:r>
        <w:rPr>
          <w:noProof/>
        </w:rPr>
        <w:drawing>
          <wp:inline distT="0" distB="0" distL="0" distR="0" wp14:anchorId="11D785AA" wp14:editId="6C5FFDD5">
            <wp:extent cx="4225377" cy="32689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2702" cy="329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1A" w:rsidRDefault="00AC221A">
      <w:r>
        <w:rPr>
          <w:noProof/>
        </w:rPr>
        <w:drawing>
          <wp:inline distT="0" distB="0" distL="0" distR="0" wp14:anchorId="6A9D5EFC" wp14:editId="544822F7">
            <wp:extent cx="4206240" cy="3008583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12" cy="303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1A" w:rsidRDefault="00AC221A"/>
    <w:p w:rsidR="00AC221A" w:rsidRDefault="00AC221A"/>
    <w:p w:rsidR="00AC221A" w:rsidRDefault="00AC221A">
      <w:r>
        <w:rPr>
          <w:noProof/>
        </w:rPr>
        <w:lastRenderedPageBreak/>
        <w:drawing>
          <wp:inline distT="0" distB="0" distL="0" distR="0" wp14:anchorId="539D3838" wp14:editId="742D69DF">
            <wp:extent cx="5731510" cy="864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21A" w:rsidSect="00AC221A">
      <w:pgSz w:w="11906" w:h="16838"/>
      <w:pgMar w:top="1440" w:right="1440" w:bottom="1440" w:left="1440" w:header="708" w:footer="708" w:gutter="0"/>
      <w:pgBorders w:offsetFrom="page">
        <w:top w:val="single" w:sz="4" w:space="24" w:color="C00000"/>
        <w:left w:val="single" w:sz="4" w:space="24" w:color="C00000"/>
        <w:bottom w:val="single" w:sz="4" w:space="24" w:color="C00000"/>
        <w:right w:val="single" w:sz="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21A"/>
    <w:rsid w:val="00437189"/>
    <w:rsid w:val="00AC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C1697"/>
  <w15:chartTrackingRefBased/>
  <w15:docId w15:val="{FB922AE7-DEA6-47F8-8F84-F9146D08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</dc:creator>
  <cp:keywords/>
  <dc:description/>
  <cp:lastModifiedBy>AFROZ</cp:lastModifiedBy>
  <cp:revision>2</cp:revision>
  <dcterms:created xsi:type="dcterms:W3CDTF">2023-04-29T05:17:00Z</dcterms:created>
  <dcterms:modified xsi:type="dcterms:W3CDTF">2023-04-29T05:17:00Z</dcterms:modified>
</cp:coreProperties>
</file>