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68A1" w14:textId="77777777" w:rsidR="006574DA" w:rsidRPr="006574DA" w:rsidRDefault="006574DA" w:rsidP="00657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4DA">
        <w:rPr>
          <w:rFonts w:ascii="Times New Roman" w:eastAsia="Times New Roman" w:hAnsi="Times New Roman" w:cs="Times New Roman"/>
          <w:b/>
          <w:bCs/>
          <w:sz w:val="27"/>
          <w:szCs w:val="27"/>
        </w:rPr>
        <w:t>Online Sales Performance Summary</w:t>
      </w:r>
    </w:p>
    <w:p w14:paraId="4826D343" w14:textId="77777777" w:rsidR="006574DA" w:rsidRPr="006574DA" w:rsidRDefault="006574DA" w:rsidP="00657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b/>
          <w:bCs/>
          <w:sz w:val="24"/>
          <w:szCs w:val="24"/>
        </w:rPr>
        <w:t>Total Orders:</w:t>
      </w:r>
      <w:r w:rsidRPr="006574DA">
        <w:rPr>
          <w:rFonts w:ascii="Times New Roman" w:eastAsia="Times New Roman" w:hAnsi="Times New Roman" w:cs="Times New Roman"/>
          <w:sz w:val="24"/>
          <w:szCs w:val="24"/>
        </w:rPr>
        <w:t xml:space="preserve"> 500</w:t>
      </w:r>
    </w:p>
    <w:p w14:paraId="148384F6" w14:textId="77777777" w:rsidR="006574DA" w:rsidRPr="006574DA" w:rsidRDefault="006574DA" w:rsidP="00657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b/>
          <w:bCs/>
          <w:sz w:val="24"/>
          <w:szCs w:val="24"/>
        </w:rPr>
        <w:t>Total Quantities Sold:</w:t>
      </w:r>
      <w:r w:rsidRPr="006574DA">
        <w:rPr>
          <w:rFonts w:ascii="Times New Roman" w:eastAsia="Times New Roman" w:hAnsi="Times New Roman" w:cs="Times New Roman"/>
          <w:sz w:val="24"/>
          <w:szCs w:val="24"/>
        </w:rPr>
        <w:t xml:space="preserve"> 5,615 units</w:t>
      </w:r>
    </w:p>
    <w:p w14:paraId="1490A01F" w14:textId="77777777" w:rsidR="006574DA" w:rsidRPr="006574DA" w:rsidRDefault="006574DA" w:rsidP="00657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 Amount:</w:t>
      </w:r>
      <w:r w:rsidRPr="006574DA">
        <w:rPr>
          <w:rFonts w:ascii="Times New Roman" w:eastAsia="Times New Roman" w:hAnsi="Times New Roman" w:cs="Times New Roman"/>
          <w:sz w:val="24"/>
          <w:szCs w:val="24"/>
        </w:rPr>
        <w:t xml:space="preserve"> $438,000</w:t>
      </w:r>
    </w:p>
    <w:p w14:paraId="0B5B7512" w14:textId="77777777" w:rsidR="006574DA" w:rsidRPr="006574DA" w:rsidRDefault="006574DA" w:rsidP="00657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b/>
          <w:bCs/>
          <w:sz w:val="24"/>
          <w:szCs w:val="24"/>
        </w:rPr>
        <w:t>Total Profit:</w:t>
      </w:r>
      <w:r w:rsidRPr="006574DA">
        <w:rPr>
          <w:rFonts w:ascii="Times New Roman" w:eastAsia="Times New Roman" w:hAnsi="Times New Roman" w:cs="Times New Roman"/>
          <w:sz w:val="24"/>
          <w:szCs w:val="24"/>
        </w:rPr>
        <w:t xml:space="preserve"> $37,000</w:t>
      </w:r>
    </w:p>
    <w:p w14:paraId="4EA6E2AB" w14:textId="77777777" w:rsidR="006574DA" w:rsidRPr="006574DA" w:rsidRDefault="006574DA" w:rsidP="00657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sz w:val="24"/>
          <w:szCs w:val="24"/>
        </w:rPr>
        <w:pict w14:anchorId="3D7F545D">
          <v:rect id="_x0000_i1033" style="width:0;height:1.5pt" o:hralign="center" o:hrstd="t" o:hr="t" fillcolor="#a0a0a0" stroked="f"/>
        </w:pict>
      </w:r>
    </w:p>
    <w:p w14:paraId="73529DA0" w14:textId="77777777" w:rsidR="006574DA" w:rsidRPr="006574DA" w:rsidRDefault="006574DA" w:rsidP="00657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4DA">
        <w:rPr>
          <w:rFonts w:ascii="Times New Roman" w:eastAsia="Times New Roman" w:hAnsi="Times New Roman" w:cs="Times New Roman"/>
          <w:b/>
          <w:bCs/>
          <w:sz w:val="27"/>
          <w:szCs w:val="27"/>
        </w:rPr>
        <w:t>Key Insights</w:t>
      </w:r>
    </w:p>
    <w:p w14:paraId="4375E55B" w14:textId="77777777" w:rsidR="006574DA" w:rsidRPr="006574DA" w:rsidRDefault="006574DA" w:rsidP="00657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b/>
          <w:bCs/>
          <w:sz w:val="24"/>
          <w:szCs w:val="24"/>
        </w:rPr>
        <w:t>Profit by City:</w:t>
      </w:r>
    </w:p>
    <w:p w14:paraId="1CECB2FF" w14:textId="77777777" w:rsidR="006574DA" w:rsidRPr="006574DA" w:rsidRDefault="006574DA" w:rsidP="006574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sz w:val="24"/>
          <w:szCs w:val="24"/>
        </w:rPr>
        <w:t>The bubble map highlights the city-wise profit distribution, showing locations with varying profit sizes. Major cities appear to generate higher profits.</w:t>
      </w:r>
    </w:p>
    <w:p w14:paraId="3F9B996F" w14:textId="77777777" w:rsidR="006574DA" w:rsidRPr="006574DA" w:rsidRDefault="006574DA" w:rsidP="00657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Product Type:</w:t>
      </w:r>
    </w:p>
    <w:p w14:paraId="4F5A0506" w14:textId="77777777" w:rsidR="006574DA" w:rsidRPr="006574DA" w:rsidRDefault="006574DA" w:rsidP="006574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sz w:val="24"/>
          <w:szCs w:val="24"/>
        </w:rPr>
        <w:t>Clothing leads in quantity sold, followed by Electronics and Furniture.</w:t>
      </w:r>
    </w:p>
    <w:p w14:paraId="4B7F9EE1" w14:textId="77777777" w:rsidR="006574DA" w:rsidRPr="006574DA" w:rsidRDefault="006574DA" w:rsidP="006574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sz w:val="24"/>
          <w:szCs w:val="24"/>
        </w:rPr>
        <w:t>Some sub-categories like T-Shirts and Shoes show significant sales volumes.</w:t>
      </w:r>
    </w:p>
    <w:p w14:paraId="79FF068F" w14:textId="77777777" w:rsidR="006574DA" w:rsidRPr="006574DA" w:rsidRDefault="006574DA" w:rsidP="00657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Mode Performance:</w:t>
      </w:r>
    </w:p>
    <w:p w14:paraId="47ABA092" w14:textId="77777777" w:rsidR="006574DA" w:rsidRPr="006574DA" w:rsidRDefault="006574DA" w:rsidP="006574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sz w:val="24"/>
          <w:szCs w:val="24"/>
        </w:rPr>
        <w:t>The donut chart illustrates the contribution of different payment modes to total sales and profit.</w:t>
      </w:r>
    </w:p>
    <w:p w14:paraId="1E3BEE5D" w14:textId="77777777" w:rsidR="006574DA" w:rsidRPr="006574DA" w:rsidRDefault="006574DA" w:rsidP="006574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sz w:val="24"/>
          <w:szCs w:val="24"/>
        </w:rPr>
        <w:t>Credit Card payments contribute the largest share to both profit and sales amount, followed by COD and EMI.</w:t>
      </w:r>
    </w:p>
    <w:p w14:paraId="7C3419C8" w14:textId="77777777" w:rsidR="006574DA" w:rsidRPr="006574DA" w:rsidRDefault="006574DA" w:rsidP="00657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b/>
          <w:bCs/>
          <w:sz w:val="24"/>
          <w:szCs w:val="24"/>
        </w:rPr>
        <w:t>Monthly Sales and Profit Trends:</w:t>
      </w:r>
    </w:p>
    <w:p w14:paraId="75CE101A" w14:textId="77777777" w:rsidR="006574DA" w:rsidRPr="006574DA" w:rsidRDefault="006574DA" w:rsidP="006574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sz w:val="24"/>
          <w:szCs w:val="24"/>
        </w:rPr>
        <w:t>Sales and profit fluctuate throughout the year.</w:t>
      </w:r>
    </w:p>
    <w:p w14:paraId="7D4CBEC9" w14:textId="77777777" w:rsidR="006574DA" w:rsidRPr="006574DA" w:rsidRDefault="006574DA" w:rsidP="006574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sz w:val="24"/>
          <w:szCs w:val="24"/>
        </w:rPr>
        <w:t>Highest sales volume observed in March and November.</w:t>
      </w:r>
    </w:p>
    <w:p w14:paraId="04402347" w14:textId="77777777" w:rsidR="006574DA" w:rsidRPr="006574DA" w:rsidRDefault="006574DA" w:rsidP="006574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sz w:val="24"/>
          <w:szCs w:val="24"/>
        </w:rPr>
        <w:t>Profit trend roughly follows sales, with dips in mid-year months.</w:t>
      </w:r>
    </w:p>
    <w:p w14:paraId="2B9610D1" w14:textId="77777777" w:rsidR="006574DA" w:rsidRPr="006574DA" w:rsidRDefault="006574DA" w:rsidP="00657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sz w:val="24"/>
          <w:szCs w:val="24"/>
        </w:rPr>
        <w:pict w14:anchorId="58D4520C">
          <v:rect id="_x0000_i1034" style="width:0;height:1.5pt" o:hralign="center" o:hrstd="t" o:hr="t" fillcolor="#a0a0a0" stroked="f"/>
        </w:pict>
      </w:r>
    </w:p>
    <w:p w14:paraId="370FFA58" w14:textId="77777777" w:rsidR="006574DA" w:rsidRPr="006574DA" w:rsidRDefault="006574DA" w:rsidP="00657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4DA">
        <w:rPr>
          <w:rFonts w:ascii="Times New Roman" w:eastAsia="Times New Roman" w:hAnsi="Times New Roman" w:cs="Times New Roman"/>
          <w:b/>
          <w:bCs/>
          <w:sz w:val="27"/>
          <w:szCs w:val="27"/>
        </w:rPr>
        <w:t>Filters &amp; Slicers</w:t>
      </w:r>
    </w:p>
    <w:p w14:paraId="7B03C254" w14:textId="77777777" w:rsidR="006574DA" w:rsidRPr="006574DA" w:rsidRDefault="006574DA" w:rsidP="00657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4DA">
        <w:rPr>
          <w:rFonts w:ascii="Times New Roman" w:eastAsia="Times New Roman" w:hAnsi="Times New Roman" w:cs="Times New Roman"/>
          <w:sz w:val="24"/>
          <w:szCs w:val="24"/>
        </w:rPr>
        <w:t xml:space="preserve">Data can be filtered by </w:t>
      </w:r>
      <w:r w:rsidRPr="006574DA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6574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74DA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6574DA">
        <w:rPr>
          <w:rFonts w:ascii="Times New Roman" w:eastAsia="Times New Roman" w:hAnsi="Times New Roman" w:cs="Times New Roman"/>
          <w:sz w:val="24"/>
          <w:szCs w:val="24"/>
        </w:rPr>
        <w:t xml:space="preserve"> (Clothing, Electronics, Furniture), and </w:t>
      </w:r>
      <w:r w:rsidRPr="006574DA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Mode</w:t>
      </w:r>
      <w:r w:rsidRPr="006574DA">
        <w:rPr>
          <w:rFonts w:ascii="Times New Roman" w:eastAsia="Times New Roman" w:hAnsi="Times New Roman" w:cs="Times New Roman"/>
          <w:sz w:val="24"/>
          <w:szCs w:val="24"/>
        </w:rPr>
        <w:t xml:space="preserve"> to analyze performance by specific segments.</w:t>
      </w:r>
    </w:p>
    <w:p w14:paraId="0603C9A2" w14:textId="77777777" w:rsidR="006F6EE9" w:rsidRPr="006574DA" w:rsidRDefault="006F6EE9" w:rsidP="006574DA"/>
    <w:sectPr w:rsidR="006F6EE9" w:rsidRPr="00657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E70"/>
    <w:multiLevelType w:val="multilevel"/>
    <w:tmpl w:val="89B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72BEA"/>
    <w:multiLevelType w:val="multilevel"/>
    <w:tmpl w:val="CC22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3609C"/>
    <w:multiLevelType w:val="multilevel"/>
    <w:tmpl w:val="2722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B7834"/>
    <w:multiLevelType w:val="multilevel"/>
    <w:tmpl w:val="6044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40D71"/>
    <w:multiLevelType w:val="multilevel"/>
    <w:tmpl w:val="9466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10B85"/>
    <w:multiLevelType w:val="multilevel"/>
    <w:tmpl w:val="3928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2A1605"/>
    <w:multiLevelType w:val="multilevel"/>
    <w:tmpl w:val="049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60A38"/>
    <w:multiLevelType w:val="multilevel"/>
    <w:tmpl w:val="4C9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745784">
    <w:abstractNumId w:val="5"/>
  </w:num>
  <w:num w:numId="2" w16cid:durableId="1019357548">
    <w:abstractNumId w:val="6"/>
  </w:num>
  <w:num w:numId="3" w16cid:durableId="1265261790">
    <w:abstractNumId w:val="4"/>
  </w:num>
  <w:num w:numId="4" w16cid:durableId="1158375780">
    <w:abstractNumId w:val="0"/>
  </w:num>
  <w:num w:numId="5" w16cid:durableId="1775982417">
    <w:abstractNumId w:val="2"/>
  </w:num>
  <w:num w:numId="6" w16cid:durableId="427965388">
    <w:abstractNumId w:val="7"/>
  </w:num>
  <w:num w:numId="7" w16cid:durableId="1464932510">
    <w:abstractNumId w:val="3"/>
  </w:num>
  <w:num w:numId="8" w16cid:durableId="764574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99"/>
    <w:rsid w:val="003258E7"/>
    <w:rsid w:val="00386F81"/>
    <w:rsid w:val="00492F2B"/>
    <w:rsid w:val="005A7299"/>
    <w:rsid w:val="006574DA"/>
    <w:rsid w:val="006F6EE9"/>
    <w:rsid w:val="00770BCC"/>
    <w:rsid w:val="007E12DB"/>
    <w:rsid w:val="009F5FA6"/>
    <w:rsid w:val="00BB550C"/>
    <w:rsid w:val="00BD3FBF"/>
    <w:rsid w:val="00F80D21"/>
    <w:rsid w:val="00FD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1951B-19F9-48CE-B568-9E229BA1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2DB"/>
  </w:style>
  <w:style w:type="paragraph" w:styleId="Heading1">
    <w:name w:val="heading 1"/>
    <w:basedOn w:val="Normal"/>
    <w:next w:val="Normal"/>
    <w:link w:val="Heading1Char"/>
    <w:uiPriority w:val="9"/>
    <w:qFormat/>
    <w:rsid w:val="007E12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1721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3992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3992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2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3992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14C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14C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2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2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399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2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2DB"/>
    <w:rPr>
      <w:rFonts w:asciiTheme="majorHAnsi" w:eastAsiaTheme="majorEastAsia" w:hAnsiTheme="majorHAnsi" w:cstheme="majorBidi"/>
      <w:b/>
      <w:bCs/>
      <w:color w:val="61721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12DB"/>
    <w:rPr>
      <w:rFonts w:asciiTheme="majorHAnsi" w:eastAsiaTheme="majorEastAsia" w:hAnsiTheme="majorHAnsi" w:cstheme="majorBidi"/>
      <w:b/>
      <w:bCs/>
      <w:color w:val="83992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2DB"/>
    <w:rPr>
      <w:rFonts w:asciiTheme="majorHAnsi" w:eastAsiaTheme="majorEastAsia" w:hAnsiTheme="majorHAnsi" w:cstheme="majorBidi"/>
      <w:b/>
      <w:bCs/>
      <w:color w:val="83992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E12DB"/>
    <w:rPr>
      <w:rFonts w:asciiTheme="majorHAnsi" w:eastAsiaTheme="majorEastAsia" w:hAnsiTheme="majorHAnsi" w:cstheme="majorBidi"/>
      <w:b/>
      <w:bCs/>
      <w:i/>
      <w:iCs/>
      <w:color w:val="83992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2DB"/>
    <w:rPr>
      <w:rFonts w:asciiTheme="majorHAnsi" w:eastAsiaTheme="majorEastAsia" w:hAnsiTheme="majorHAnsi" w:cstheme="majorBidi"/>
      <w:color w:val="414C1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2DB"/>
    <w:rPr>
      <w:rFonts w:asciiTheme="majorHAnsi" w:eastAsiaTheme="majorEastAsia" w:hAnsiTheme="majorHAnsi" w:cstheme="majorBidi"/>
      <w:i/>
      <w:iCs/>
      <w:color w:val="414C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2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2DB"/>
    <w:rPr>
      <w:rFonts w:asciiTheme="majorHAnsi" w:eastAsiaTheme="majorEastAsia" w:hAnsiTheme="majorHAnsi" w:cstheme="majorBidi"/>
      <w:color w:val="8399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2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2DB"/>
    <w:pPr>
      <w:spacing w:line="240" w:lineRule="auto"/>
    </w:pPr>
    <w:rPr>
      <w:b/>
      <w:bCs/>
      <w:color w:val="83992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12DB"/>
    <w:pPr>
      <w:pBdr>
        <w:bottom w:val="single" w:sz="8" w:space="4" w:color="83992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2DB"/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2DB"/>
    <w:pPr>
      <w:numPr>
        <w:ilvl w:val="1"/>
      </w:numPr>
    </w:pPr>
    <w:rPr>
      <w:rFonts w:asciiTheme="majorHAnsi" w:eastAsiaTheme="majorEastAsia" w:hAnsiTheme="majorHAnsi" w:cstheme="majorBidi"/>
      <w:i/>
      <w:iCs/>
      <w:color w:val="8399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12DB"/>
    <w:rPr>
      <w:rFonts w:asciiTheme="majorHAnsi" w:eastAsiaTheme="majorEastAsia" w:hAnsiTheme="majorHAnsi" w:cstheme="majorBidi"/>
      <w:i/>
      <w:iCs/>
      <w:color w:val="83992A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12DB"/>
    <w:rPr>
      <w:b/>
      <w:bCs/>
    </w:rPr>
  </w:style>
  <w:style w:type="character" w:styleId="Emphasis">
    <w:name w:val="Emphasis"/>
    <w:basedOn w:val="DefaultParagraphFont"/>
    <w:uiPriority w:val="20"/>
    <w:qFormat/>
    <w:rsid w:val="007E12DB"/>
    <w:rPr>
      <w:i/>
      <w:iCs/>
    </w:rPr>
  </w:style>
  <w:style w:type="paragraph" w:styleId="NoSpacing">
    <w:name w:val="No Spacing"/>
    <w:uiPriority w:val="1"/>
    <w:qFormat/>
    <w:rsid w:val="007E12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12D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2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2DB"/>
    <w:pPr>
      <w:pBdr>
        <w:bottom w:val="single" w:sz="4" w:space="4" w:color="83992A" w:themeColor="accent1"/>
      </w:pBdr>
      <w:spacing w:before="200" w:after="280"/>
      <w:ind w:left="936" w:right="936"/>
    </w:pPr>
    <w:rPr>
      <w:b/>
      <w:bCs/>
      <w:i/>
      <w:iCs/>
      <w:color w:val="83992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2DB"/>
    <w:rPr>
      <w:b/>
      <w:bCs/>
      <w:i/>
      <w:iCs/>
      <w:color w:val="83992A" w:themeColor="accent1"/>
    </w:rPr>
  </w:style>
  <w:style w:type="character" w:styleId="SubtleEmphasis">
    <w:name w:val="Subtle Emphasis"/>
    <w:basedOn w:val="DefaultParagraphFont"/>
    <w:uiPriority w:val="19"/>
    <w:qFormat/>
    <w:rsid w:val="007E12D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12DB"/>
    <w:rPr>
      <w:b/>
      <w:bCs/>
      <w:i/>
      <w:iCs/>
      <w:color w:val="83992A" w:themeColor="accent1"/>
    </w:rPr>
  </w:style>
  <w:style w:type="character" w:styleId="SubtleReference">
    <w:name w:val="Subtle Reference"/>
    <w:basedOn w:val="DefaultParagraphFont"/>
    <w:uiPriority w:val="31"/>
    <w:qFormat/>
    <w:rsid w:val="007E12DB"/>
    <w:rPr>
      <w:smallCaps/>
      <w:color w:val="3C97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12DB"/>
    <w:rPr>
      <w:b/>
      <w:bCs/>
      <w:smallCaps/>
      <w:color w:val="3C97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12D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2DB"/>
    <w:pPr>
      <w:outlineLvl w:val="9"/>
    </w:pPr>
  </w:style>
  <w:style w:type="paragraph" w:styleId="ListParagraph">
    <w:name w:val="List Paragraph"/>
    <w:basedOn w:val="Normal"/>
    <w:uiPriority w:val="34"/>
    <w:qFormat/>
    <w:rsid w:val="007E12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0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0D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D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0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2025-09-24T07:32:00Z</dcterms:created>
  <dcterms:modified xsi:type="dcterms:W3CDTF">2025-09-24T10:25:00Z</dcterms:modified>
</cp:coreProperties>
</file>