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Times New Roman" w:hAnsi="Times New Roman"/>
          <w:b/>
          <w:color w:val="0F172A"/>
          <w:sz w:val="34"/>
        </w:rPr>
        <w:t>Evaluating Orthogonal Subspace and Sparse Low-Rank Adaptation Under Model-Directed Autonomous Curricula</w:t>
      </w:r>
    </w:p>
    <w:p>
      <w:pPr>
        <w:spacing w:after="200"/>
        <w:jc w:val="center"/>
      </w:pPr>
      <w:r>
        <w:rPr>
          <w:rFonts w:ascii="Times New Roman" w:hAnsi="Times New Roman"/>
          <w:b/>
          <w:sz w:val="22"/>
        </w:rPr>
        <w:t>Altamash Shaikh</w:t>
        <w:br/>
      </w:r>
      <w:r>
        <w:rPr>
          <w:rFonts w:ascii="Times New Roman" w:hAnsi="Times New Roman"/>
          <w:i/>
          <w:color w:val="4B5563"/>
          <w:sz w:val="19"/>
        </w:rPr>
        <w:t>Department of Artificial Intelligence &amp; Machine Learning (AI&amp;ML)</w:t>
        <w:br/>
        <w:t>Thakur College of Engineering and Technology (TCET), University of Mumbai</w:t>
        <w:br/>
        <w:t>Roll No: 40 | Semester VII | Open Elective 2 (Research Methodology)</w:t>
        <w:br/>
        <w:t>Code Repository: https://github.com/shaikhaltamash69/SEAL-Orthogonal-Continual-Learning</w:t>
      </w:r>
    </w:p>
    <w:tbl>
      <w:tblPr>
        <w:tblW w:type="auto" w:w="0"/>
        <w:jc w:val="center"/>
        <w:tblLook w:firstColumn="1" w:firstRow="1" w:lastColumn="0" w:lastRow="0" w:noHBand="0" w:noVBand="1" w:val="04A0"/>
      </w:tblPr>
      <w:tblGrid>
        <w:gridCol w:w="10080"/>
      </w:tblGrid>
      <w:tr>
        <w:tc>
          <w:tcPr>
            <w:tcW w:type="dxa" w:w="10080"/>
            <w:shd w:fill="F8FAFC"/>
            <w:tcMar>
              <w:top w:w="140" w:type="dxa"/>
              <w:bottom w:w="140" w:type="dxa"/>
              <w:left w:w="180" w:type="dxa"/>
              <w:right w:w="180" w:type="dxa"/>
            </w:tcMar>
            <w:tcBorders>
              <w:top w:val="single" w:sz="6" w:space="0" w:color="CBD5E1"/>
              <w:left w:val="single" w:sz="18" w:space="0" w:color="2563EB"/>
              <w:bottom w:val="single" w:sz="6" w:space="0" w:color="CBD5E1"/>
              <w:right w:val="single" w:sz="6" w:space="0" w:color="CBD5E1"/>
            </w:tcBorders>
          </w:tcPr>
          <w:p>
            <w:pPr>
              <w:spacing w:after="80"/>
              <w:jc w:val="both"/>
            </w:pPr>
            <w:r>
              <w:rPr>
                <w:b/>
                <w:sz w:val="19"/>
              </w:rPr>
              <w:t xml:space="preserve">Abstract— </w:t>
            </w:r>
            <w:r>
              <w:rPr>
                <w:sz w:val="19"/>
              </w:rPr>
              <w:t>Parameter-Efficient Fine-Tuning (PEFT) methods, particularly Subspace-Orthogonal Low-Rank Adaptation (O-LoRA) and Reduced Interference LoRA (LoRI), mitigate catastrophic forgetting in Large Language Models (LLMs) by restricting weight updates to orthogonal or sparsified parameter subspaces. However, all existing evaluations strictly assume static, human-curated task curricula—a condition fundamentally violated in autonomous self-editing architectures (e.g., SEAL) where the model autonomously generates training data and directs its own edit sequence. This paper presents SEAL (Self-Edit Aware Learning), the first comprehensive empirical investigation of PEFT continual learning under model-directed, self-generated curricula across a complete 2x2 factorial matrix (O-LoRA vs. LoRI x Planned vs. Self-Gen). Evaluating across 19 sequential post-2024 verified factual updates over 3 random seeds (15 full runs, 285 edit steps) using Qwen2.5-1.5B-Instruct on an NVIDIA RTX 4500 Ada GPU, our findings demonstrate: (1) Unconstrained self-editing undergoes catastrophic forgetting (0.0263 ± 0.0215 mean retention accuracy); (2) O-LoRA mitigates forgetting under self-directed curricula (0.1228 ± 0.0248, a +366.7% improvement over baseline), but exhibits an empirical Curriculum Transfer Gap (CTG) of +0.0088 compared to human-planned ordering (0.1316 ± 0.0000); (3) Sparse random projection methods (LoRI) eliminate curriculum vulnerability entirely, achieving superior retention under autonomous curricula (0.1404 ± 0.0124, a +433.3% relative improvement over baseline, negative CTG of -0.0088). Qualitative trace inspection reveals that LLM self-selection exhibits semantic topic clustering, inducing localized subspace crowding that soft Frobenius orthogonality penalties fail to resolve. Finally, we formulate a multi-layered cryptographic watermarking protocol to safeguard the resulting continual learning intellectual property against unauthorized distillation and adapter theft.</w:t>
            </w:r>
          </w:p>
          <w:p>
            <w:pPr>
              <w:spacing w:before="40" w:after="0"/>
              <w:jc w:val="both"/>
            </w:pPr>
            <w:r>
              <w:rPr>
                <w:b/>
                <w:sz w:val="19"/>
              </w:rPr>
              <w:t xml:space="preserve">Keywords— </w:t>
            </w:r>
            <w:r>
              <w:rPr>
                <w:sz w:val="19"/>
              </w:rPr>
              <w:t>Continual Learning, Catastrophic Forgetting, Low-Rank Adaptation (LoRA), O-LoRA, LoRI, Autonomous Self-Editing, Curriculum Learning, Subspace Orthogonality, Parameter-Efficient Fine-Tuning (PEFT), Intellectual Property Protection.</w:t>
            </w:r>
          </w:p>
        </w:tc>
      </w:tr>
    </w:tbl>
    <w:p>
      <w:pPr>
        <w:spacing w:after="120"/>
      </w:pPr>
    </w:p>
    <w:p>
      <w:pPr>
        <w:keepNext/>
        <w:spacing w:before="280" w:after="60"/>
      </w:pPr>
      <w:r>
        <w:rPr>
          <w:rFonts w:ascii="Times New Roman" w:hAnsi="Times New Roman"/>
          <w:b/>
          <w:color w:val="0F172A"/>
          <w:sz w:val="23"/>
        </w:rPr>
        <w:t>I. INTRODUCTION</w:t>
      </w:r>
    </w:p>
    <w:p>
      <w:pPr>
        <w:spacing w:after="80" w:line="276" w:lineRule="auto"/>
        <w:jc w:val="both"/>
      </w:pPr>
      <w:r>
        <w:rPr>
          <w:rFonts w:ascii="Times New Roman" w:hAnsi="Times New Roman"/>
          <w:sz w:val="20"/>
        </w:rPr>
        <w:t>Large Language Models (LLMs) deployed in open-world production systems must continuously absorb new, verified factual information—such as newly discovered scientific breakthroughs, evolving legal precedents, and updated geopolitical events—without degrading their mastery of previously acquired knowledge. When an artificial neural network updates its internal weights on incoming non-stationary data distributions, previously encoded parameter connections are overwritten, leading to rapid degradation of historical competencies. This fundamental challenge is formalized in the literature as catastrophic forgetting [1].</w:t>
      </w:r>
    </w:p>
    <w:p>
      <w:pPr>
        <w:spacing w:after="80" w:line="276" w:lineRule="auto"/>
        <w:jc w:val="both"/>
      </w:pPr>
      <w:r>
        <w:rPr>
          <w:rFonts w:ascii="Times New Roman" w:hAnsi="Times New Roman"/>
          <w:sz w:val="20"/>
        </w:rPr>
        <w:t>In traditional machine learning, continual learning (CL) strategies have relied heavily on experience replay mechanisms [2], elastic weight consolidation, and parameter isolation schemes such as prompt pools [3]. However, as foundation models scale to billions of parameters, full weight fine-tuning and massive exemplar replay become computationally prohibitive and raise severe privacy and storage concerns. To address this scaling bottleneck, Parameter-Efficient Fine-Tuning (PEFT) has emerged as the standard adaptation paradigm. In particular, Low-Rank Adaptation (LoRA) [4] freezes pre-trained foundation weights and injects low-rank decomposition matrices into transformer attention layers, drastically reducing memory footprints.</w:t>
      </w:r>
    </w:p>
    <w:p>
      <w:pPr>
        <w:spacing w:after="80" w:line="276" w:lineRule="auto"/>
        <w:jc w:val="both"/>
      </w:pPr>
      <w:r>
        <w:rPr>
          <w:rFonts w:ascii="Times New Roman" w:hAnsi="Times New Roman"/>
          <w:sz w:val="20"/>
        </w:rPr>
        <w:t>To make PEFT suitable for continual learning, recent seminal literature has introduced geometric and subspace constraints. Specifically, Orthogonal Subspace Learning (O-LoRA) [5] incorporates an explicit Frobenius-norm Gram-matrix penalty that forces the adapter matrix for each new task to remain orthogonal to the projection matrices of all past tasks. Similarly, Reduced Interference LoRA (LoRI) [6] introduces sparse Gaussian random projections to achieve structural separation without penalty computation. Furthermore, recent theoretical frameworks have explored exact SVD null-space projection (OPLoRA), multiplicative updates over Lie-group manifolds, and loss-plateau task-free adaptation.</w:t>
      </w:r>
    </w:p>
    <w:p>
      <w:pPr>
        <w:spacing w:after="80" w:line="276" w:lineRule="auto"/>
        <w:jc w:val="both"/>
      </w:pPr>
      <w:r>
        <w:rPr>
          <w:rFonts w:ascii="Times New Roman" w:hAnsi="Times New Roman"/>
          <w:sz w:val="20"/>
        </w:rPr>
        <w:t>CRITICAL RESEARCH GAP: Despite these significant advances, a universal and unexamined assumption underpins every existing PEFT continual learning study: all benchmark evaluations assume static, human-curated, and externally ordered task curricula. However, modern autonomous agent frameworks—such as Self-Editing Language Models (SEAL) [7]—operate under a radically different paradigm. In an autonomous self-editing loop, the language model dynamically generates its own synthetic fine-tuning pairs from external factual passages and self-directs its curriculum by deciding which knowledge topic to acquire next. When curriculum selection is shifted from human design to autonomous model agency, existing orthogonality defenses encounter unstudied non-stationary dynamics.</w:t>
      </w:r>
    </w:p>
    <w:p>
      <w:pPr>
        <w:spacing w:after="80" w:line="276" w:lineRule="auto"/>
        <w:jc w:val="both"/>
      </w:pPr>
      <w:r>
        <w:rPr>
          <w:rFonts w:ascii="Times New Roman" w:hAnsi="Times New Roman"/>
          <w:sz w:val="20"/>
        </w:rPr>
        <w:t>In this work, we present SEAL: Self-Edit Aware Learning, establishing the first controlled empirical investigation into how parameter-space orthogonality and sparsity constraints behave when subjected to model-directed curricula. We formulate and quantify the Curriculum Transfer Gap (CTG), provide deep empirical findings on 19 verified post-2024 facts with Qwen2.5-1.5B on an NVIDIA RTX 4500 Ada GPU, and establish comprehensive intellectual property safeguards for continual learning adapters.</w:t>
      </w:r>
    </w:p>
    <w:p>
      <w:pPr>
        <w:keepNext/>
        <w:spacing w:before="280" w:after="60"/>
      </w:pPr>
      <w:r>
        <w:rPr>
          <w:rFonts w:ascii="Times New Roman" w:hAnsi="Times New Roman"/>
          <w:b/>
          <w:color w:val="0F172A"/>
          <w:sz w:val="23"/>
        </w:rPr>
        <w:t>II. RELATED WORK</w:t>
      </w:r>
    </w:p>
    <w:p>
      <w:pPr>
        <w:keepNext/>
        <w:spacing w:before="160" w:after="40"/>
      </w:pPr>
      <w:r>
        <w:rPr>
          <w:rFonts w:ascii="Times New Roman" w:hAnsi="Times New Roman"/>
          <w:b/>
          <w:i/>
          <w:color w:val="1E293B"/>
          <w:sz w:val="21"/>
        </w:rPr>
        <w:t>A. Catastrophic Forgetting and Continual Learning Foundations</w:t>
      </w:r>
    </w:p>
    <w:p>
      <w:pPr>
        <w:spacing w:after="80" w:line="276" w:lineRule="auto"/>
        <w:jc w:val="both"/>
      </w:pPr>
      <w:r>
        <w:rPr>
          <w:rFonts w:ascii="Times New Roman" w:hAnsi="Times New Roman"/>
          <w:sz w:val="20"/>
        </w:rPr>
        <w:t>The phenomenon of catastrophic forgetting was originally formalized by McCloskey and Cohen [1], establishing that connectionist networks suffer severe interference when learning sequential tasks. Early mitigation frameworks focused on rehearsal and experience replay [2], wherein samples from previous tasks are stored in memory buffers and interleaved into subsequent training batches. While rehearsal provides strong empirical retention, it scales poorly with task length and introduces severe data privacy risks. Architecture-based and prompt-tuning approaches, such as DualPrompt [3], separate general and task-specific prompt spaces but often lack sufficient capacity to memorize dense factual knowledge without modifying weight representations.</w:t>
      </w:r>
    </w:p>
    <w:p>
      <w:pPr>
        <w:keepNext/>
        <w:spacing w:before="160" w:after="40"/>
      </w:pPr>
      <w:r>
        <w:rPr>
          <w:rFonts w:ascii="Times New Roman" w:hAnsi="Times New Roman"/>
          <w:b/>
          <w:i/>
          <w:color w:val="1E293B"/>
          <w:sz w:val="21"/>
        </w:rPr>
        <w:t>B. Parameter-Efficient Fine-Tuning (PEFT) and Low-Rank Adaptation</w:t>
      </w:r>
    </w:p>
    <w:p>
      <w:pPr>
        <w:spacing w:after="80" w:line="276" w:lineRule="auto"/>
        <w:jc w:val="both"/>
      </w:pPr>
      <w:r>
        <w:rPr>
          <w:rFonts w:ascii="Times New Roman" w:hAnsi="Times New Roman"/>
          <w:sz w:val="20"/>
        </w:rPr>
        <w:t>Low-Rank Adaptation (LoRA) [4] demonstrated that the intrinsic rank of weight changes during downstream task adaptation is significantly smaller than the ambient dimension of the pre-trained weight matrices. By parameterizing weight updates as the product of two low-rank matrices, LoRA reduces trainable parameter counts by orders of magnitude while preserving representation power. Subsequent developments such as QLoRA [8] combined 4-bit NormalFloat quantization with LoRA, enabling fine-tuning of large models on consumer-grade GPUs. However, naive sequential LoRA fine-tuning continues to suffer from catastrophic forgetting because subsequent adapters freely overwrite parameter directions utilized by previous tasks.</w:t>
      </w:r>
    </w:p>
    <w:p>
      <w:pPr>
        <w:keepNext/>
        <w:spacing w:before="160" w:after="40"/>
      </w:pPr>
      <w:r>
        <w:rPr>
          <w:rFonts w:ascii="Times New Roman" w:hAnsi="Times New Roman"/>
          <w:b/>
          <w:i/>
          <w:color w:val="1E293B"/>
          <w:sz w:val="21"/>
        </w:rPr>
        <w:t>C. Subspace Orthogonality and Manifold Regularization</w:t>
      </w:r>
    </w:p>
    <w:p>
      <w:pPr>
        <w:spacing w:after="80" w:line="276" w:lineRule="auto"/>
        <w:jc w:val="both"/>
      </w:pPr>
      <w:r>
        <w:rPr>
          <w:rFonts w:ascii="Times New Roman" w:hAnsi="Times New Roman"/>
          <w:sz w:val="20"/>
        </w:rPr>
        <w:t>To prevent inter-adapter interference in continual learning, Wang et al. introduced O-LoRA [5], which explicitly penalizes the Frobenius norm of cross-adapter Gram matrices, pushing new adapter parameters into orthogonal subspaces. To provide absolute preservation guarantees, OPLoRA [9] computes a singular value decomposition (SVD) of frozen base weights and projects LoRA updates onto the orthogonal complement of the dominant singular subspace. In parallel, geometric optimization methods have explored Lie group parameterizations [10], replacing additive updates with multiplicative exponential maps to preserve the intrinsic Riemannian geometry of foundational representations.</w:t>
      </w:r>
    </w:p>
    <w:p>
      <w:pPr>
        <w:keepNext/>
        <w:spacing w:before="160" w:after="40"/>
      </w:pPr>
      <w:r>
        <w:rPr>
          <w:rFonts w:ascii="Times New Roman" w:hAnsi="Times New Roman"/>
          <w:b/>
          <w:i/>
          <w:color w:val="1E293B"/>
          <w:sz w:val="21"/>
        </w:rPr>
        <w:t>D. Sparse Projections and Task-Free Online Continual Learning</w:t>
      </w:r>
    </w:p>
    <w:p>
      <w:pPr>
        <w:spacing w:after="80" w:line="276" w:lineRule="auto"/>
        <w:jc w:val="both"/>
      </w:pPr>
      <w:r>
        <w:rPr>
          <w:rFonts w:ascii="Times New Roman" w:hAnsi="Times New Roman"/>
          <w:sz w:val="20"/>
        </w:rPr>
        <w:t>Addressing the computational burden of orthogonality penalties, LoRI [6] proposes freezing the first projection matrix as a sparse Gaussian random projection and training only a magnitude-sparsified second matrix. Under the Johnson-Lindenstrauss lemma, sparse random projections yield near-orthogonal subspaces with high probability. For task-free streaming environments where explicit boundaries are absent, Online-LoRA [11] tracks training loss plateaus to dynamically grow and consolidate adapters without external task signals.</w:t>
      </w:r>
    </w:p>
    <w:p>
      <w:pPr>
        <w:keepNext/>
        <w:spacing w:before="160" w:after="40"/>
      </w:pPr>
      <w:r>
        <w:rPr>
          <w:rFonts w:ascii="Times New Roman" w:hAnsi="Times New Roman"/>
          <w:b/>
          <w:i/>
          <w:color w:val="1E293B"/>
          <w:sz w:val="21"/>
        </w:rPr>
        <w:t>E. Autonomous Self-Editing Language Models</w:t>
      </w:r>
    </w:p>
    <w:p>
      <w:pPr>
        <w:spacing w:after="80" w:line="276" w:lineRule="auto"/>
        <w:jc w:val="both"/>
      </w:pPr>
      <w:r>
        <w:rPr>
          <w:rFonts w:ascii="Times New Roman" w:hAnsi="Times New Roman"/>
          <w:sz w:val="20"/>
        </w:rPr>
        <w:t>SEAL [7] introduced the concept of self-editing language models capable of updating their own knowledge parameters via self-generated synthetic training data. While SEAL validated the viability of autonomous updates, it did not evaluate long-term continual learning stability or the impact of model-directed topic ordering on parameter-space interference, defining the core objective of this investigation.</w:t>
      </w:r>
    </w:p>
    <w:p>
      <w:pPr>
        <w:keepNext/>
        <w:spacing w:before="280" w:after="60"/>
      </w:pPr>
      <w:r>
        <w:rPr>
          <w:rFonts w:ascii="Times New Roman" w:hAnsi="Times New Roman"/>
          <w:b/>
          <w:color w:val="0F172A"/>
          <w:sz w:val="23"/>
        </w:rPr>
        <w:t>III. LITERATURE SURVEY &amp; HYPOTHESIS FORMULATION</w:t>
      </w:r>
    </w:p>
    <w:p>
      <w:pPr>
        <w:spacing w:after="80" w:line="276" w:lineRule="auto"/>
        <w:jc w:val="both"/>
      </w:pPr>
      <w:r>
        <w:rPr>
          <w:rFonts w:ascii="Times New Roman" w:hAnsi="Times New Roman"/>
          <w:sz w:val="20"/>
        </w:rPr>
        <w:t>To rigorously ground this investigation, we conduct a systematic comparative survey across the five primary baseline papers, analyzing their quantitative benchmarks, qualitative architectural choices, and underlying assumptions. Table I summarizes this survey.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680"/>
        <w:gridCol w:w="1680"/>
        <w:gridCol w:w="1680"/>
        <w:gridCol w:w="1680"/>
        <w:gridCol w:w="1680"/>
        <w:gridCol w:w="1680"/>
      </w:tblGrid>
      <w:tr>
        <w:tc>
          <w:tcPr>
            <w:tcW w:type="dxa" w:w="1680"/>
            <w:shd w:fill="0F172A"/>
            <w:tcMar>
              <w:top w:w="100" w:type="dxa"/>
              <w:bottom w:w="100" w:type="dxa"/>
              <w:left w:w="80" w:type="dxa"/>
              <w:right w:w="80" w:type="dxa"/>
            </w:tcMar>
          </w:tcPr>
          <w:p>
            <w:pPr>
              <w:jc w:val="center"/>
            </w:pPr>
            <w:r>
              <w:rPr>
                <w:b/>
                <w:color w:val="FFFFFF"/>
                <w:sz w:val="17"/>
              </w:rPr>
              <w:t>Paper &amp; Paradigm</w:t>
            </w:r>
          </w:p>
        </w:tc>
        <w:tc>
          <w:tcPr>
            <w:tcW w:type="dxa" w:w="1680"/>
            <w:shd w:fill="0F172A"/>
            <w:tcMar>
              <w:top w:w="100" w:type="dxa"/>
              <w:bottom w:w="100" w:type="dxa"/>
              <w:left w:w="80" w:type="dxa"/>
              <w:right w:w="80" w:type="dxa"/>
            </w:tcMar>
          </w:tcPr>
          <w:p>
            <w:pPr>
              <w:jc w:val="center"/>
            </w:pPr>
            <w:r>
              <w:rPr>
                <w:b/>
                <w:color w:val="FFFFFF"/>
                <w:sz w:val="17"/>
              </w:rPr>
              <w:t>Venue / Year</w:t>
            </w:r>
          </w:p>
        </w:tc>
        <w:tc>
          <w:tcPr>
            <w:tcW w:type="dxa" w:w="1680"/>
            <w:shd w:fill="0F172A"/>
            <w:tcMar>
              <w:top w:w="100" w:type="dxa"/>
              <w:bottom w:w="100" w:type="dxa"/>
              <w:left w:w="80" w:type="dxa"/>
              <w:right w:w="80" w:type="dxa"/>
            </w:tcMar>
          </w:tcPr>
          <w:p>
            <w:pPr>
              <w:jc w:val="center"/>
            </w:pPr>
            <w:r>
              <w:rPr>
                <w:b/>
                <w:color w:val="FFFFFF"/>
                <w:sz w:val="17"/>
              </w:rPr>
              <w:t>Orthogonality</w:t>
            </w:r>
          </w:p>
        </w:tc>
        <w:tc>
          <w:tcPr>
            <w:tcW w:type="dxa" w:w="1680"/>
            <w:shd w:fill="0F172A"/>
            <w:tcMar>
              <w:top w:w="100" w:type="dxa"/>
              <w:bottom w:w="100" w:type="dxa"/>
              <w:left w:w="80" w:type="dxa"/>
              <w:right w:w="80" w:type="dxa"/>
            </w:tcMar>
          </w:tcPr>
          <w:p>
            <w:pPr>
              <w:jc w:val="center"/>
            </w:pPr>
            <w:r>
              <w:rPr>
                <w:b/>
                <w:color w:val="FFFFFF"/>
                <w:sz w:val="17"/>
              </w:rPr>
              <w:t>Sparsity</w:t>
            </w:r>
          </w:p>
        </w:tc>
        <w:tc>
          <w:tcPr>
            <w:tcW w:type="dxa" w:w="1680"/>
            <w:shd w:fill="0F172A"/>
            <w:tcMar>
              <w:top w:w="100" w:type="dxa"/>
              <w:bottom w:w="100" w:type="dxa"/>
              <w:left w:w="80" w:type="dxa"/>
              <w:right w:w="80" w:type="dxa"/>
            </w:tcMar>
          </w:tcPr>
          <w:p>
            <w:pPr>
              <w:jc w:val="center"/>
            </w:pPr>
            <w:r>
              <w:rPr>
                <w:b/>
                <w:color w:val="FFFFFF"/>
                <w:sz w:val="17"/>
              </w:rPr>
              <w:t>Self-Directed</w:t>
            </w:r>
          </w:p>
        </w:tc>
        <w:tc>
          <w:tcPr>
            <w:tcW w:type="dxa" w:w="1680"/>
            <w:shd w:fill="0F172A"/>
            <w:tcMar>
              <w:top w:w="100" w:type="dxa"/>
              <w:bottom w:w="100" w:type="dxa"/>
              <w:left w:w="80" w:type="dxa"/>
              <w:right w:w="80" w:type="dxa"/>
            </w:tcMar>
          </w:tcPr>
          <w:p>
            <w:pPr>
              <w:jc w:val="center"/>
            </w:pPr>
            <w:r>
              <w:rPr>
                <w:b/>
                <w:color w:val="FFFFFF"/>
                <w:sz w:val="17"/>
              </w:rPr>
              <w:t>Key Architectural Limitation</w:t>
            </w:r>
          </w:p>
        </w:tc>
      </w:tr>
      <w:tr>
        <w:tc>
          <w:tcPr>
            <w:tcW w:type="dxa" w:w="1680"/>
            <w:shd w:fill="F8FAFC"/>
            <w:tcMar>
              <w:top w:w="80" w:type="dxa"/>
              <w:bottom w:w="80" w:type="dxa"/>
              <w:left w:w="70" w:type="dxa"/>
              <w:right w:w="70" w:type="dxa"/>
            </w:tcMar>
          </w:tcPr>
          <w:p>
            <w:pPr>
              <w:jc w:val="left"/>
            </w:pPr>
            <w:r>
              <w:rPr>
                <w:sz w:val="16"/>
              </w:rPr>
              <w:t>O-LoRA [5]</w:t>
              <w:br/>
              <w:t>(Orthogonal Subspace)</w:t>
            </w:r>
          </w:p>
        </w:tc>
        <w:tc>
          <w:tcPr>
            <w:tcW w:type="dxa" w:w="1680"/>
            <w:shd w:fill="F8FAFC"/>
            <w:tcMar>
              <w:top w:w="80" w:type="dxa"/>
              <w:bottom w:w="80" w:type="dxa"/>
              <w:left w:w="70" w:type="dxa"/>
              <w:right w:w="70" w:type="dxa"/>
            </w:tcMar>
          </w:tcPr>
          <w:p>
            <w:pPr>
              <w:jc w:val="center"/>
            </w:pPr>
            <w:r>
              <w:rPr>
                <w:sz w:val="16"/>
              </w:rPr>
              <w:t>Findings of EMNLP 2023</w:t>
            </w:r>
          </w:p>
        </w:tc>
        <w:tc>
          <w:tcPr>
            <w:tcW w:type="dxa" w:w="1680"/>
            <w:shd w:fill="F8FAFC"/>
            <w:tcMar>
              <w:top w:w="80" w:type="dxa"/>
              <w:bottom w:w="80" w:type="dxa"/>
              <w:left w:w="70" w:type="dxa"/>
              <w:right w:w="70" w:type="dxa"/>
            </w:tcMar>
          </w:tcPr>
          <w:p>
            <w:pPr>
              <w:jc w:val="center"/>
            </w:pPr>
            <w:r>
              <w:rPr>
                <w:sz w:val="16"/>
              </w:rPr>
              <w:t>Soft Frobenius Penalty</w:t>
            </w:r>
          </w:p>
        </w:tc>
        <w:tc>
          <w:tcPr>
            <w:tcW w:type="dxa" w:w="1680"/>
            <w:shd w:fill="F8FAFC"/>
            <w:tcMar>
              <w:top w:w="80" w:type="dxa"/>
              <w:bottom w:w="80" w:type="dxa"/>
              <w:left w:w="70" w:type="dxa"/>
              <w:right w:w="70" w:type="dxa"/>
            </w:tcMar>
          </w:tcPr>
          <w:p>
            <w:pPr>
              <w:jc w:val="center"/>
            </w:pPr>
            <w:r>
              <w:rPr>
                <w:sz w:val="16"/>
              </w:rPr>
              <w:t>No (Dense)</w:t>
            </w:r>
          </w:p>
        </w:tc>
        <w:tc>
          <w:tcPr>
            <w:tcW w:type="dxa" w:w="1680"/>
            <w:shd w:fill="F8FAFC"/>
            <w:tcMar>
              <w:top w:w="80" w:type="dxa"/>
              <w:bottom w:w="80" w:type="dxa"/>
              <w:left w:w="70" w:type="dxa"/>
              <w:right w:w="70" w:type="dxa"/>
            </w:tcMar>
          </w:tcPr>
          <w:p>
            <w:pPr>
              <w:jc w:val="center"/>
            </w:pPr>
            <w:r>
              <w:rPr>
                <w:sz w:val="16"/>
              </w:rPr>
              <w:t>No (Human)</w:t>
            </w:r>
          </w:p>
        </w:tc>
        <w:tc>
          <w:tcPr>
            <w:tcW w:type="dxa" w:w="1680"/>
            <w:shd w:fill="F8FAFC"/>
            <w:tcMar>
              <w:top w:w="80" w:type="dxa"/>
              <w:bottom w:w="80" w:type="dxa"/>
              <w:left w:w="70" w:type="dxa"/>
              <w:right w:w="70" w:type="dxa"/>
            </w:tcMar>
          </w:tcPr>
          <w:p>
            <w:pPr>
              <w:jc w:val="left"/>
            </w:pPr>
            <w:r>
              <w:rPr>
                <w:sz w:val="16"/>
              </w:rPr>
              <w:t>Soft penalty allows drift under dense, clustered task curricula; high Gram-matrix compute.</w:t>
            </w:r>
          </w:p>
        </w:tc>
      </w:tr>
      <w:tr>
        <w:tc>
          <w:tcPr>
            <w:tcW w:type="dxa" w:w="1680"/>
            <w:shd w:fill="FFFFFF"/>
            <w:tcMar>
              <w:top w:w="80" w:type="dxa"/>
              <w:bottom w:w="80" w:type="dxa"/>
              <w:left w:w="70" w:type="dxa"/>
              <w:right w:w="70" w:type="dxa"/>
            </w:tcMar>
          </w:tcPr>
          <w:p>
            <w:pPr>
              <w:jc w:val="left"/>
            </w:pPr>
            <w:r>
              <w:rPr>
                <w:sz w:val="16"/>
              </w:rPr>
              <w:t>LoRI [6]</w:t>
              <w:br/>
              <w:t>(Sparse Random Proj.)</w:t>
            </w:r>
          </w:p>
        </w:tc>
        <w:tc>
          <w:tcPr>
            <w:tcW w:type="dxa" w:w="1680"/>
            <w:shd w:fill="FFFFFF"/>
            <w:tcMar>
              <w:top w:w="80" w:type="dxa"/>
              <w:bottom w:w="80" w:type="dxa"/>
              <w:left w:w="70" w:type="dxa"/>
              <w:right w:w="70" w:type="dxa"/>
            </w:tcMar>
          </w:tcPr>
          <w:p>
            <w:pPr>
              <w:jc w:val="center"/>
            </w:pPr>
            <w:r>
              <w:rPr>
                <w:sz w:val="16"/>
              </w:rPr>
              <w:t>arXiv Preprint 2025</w:t>
            </w:r>
          </w:p>
        </w:tc>
        <w:tc>
          <w:tcPr>
            <w:tcW w:type="dxa" w:w="1680"/>
            <w:shd w:fill="FFFFFF"/>
            <w:tcMar>
              <w:top w:w="80" w:type="dxa"/>
              <w:bottom w:w="80" w:type="dxa"/>
              <w:left w:w="70" w:type="dxa"/>
              <w:right w:w="70" w:type="dxa"/>
            </w:tcMar>
          </w:tcPr>
          <w:p>
            <w:pPr>
              <w:jc w:val="center"/>
            </w:pPr>
            <w:r>
              <w:rPr>
                <w:sz w:val="16"/>
              </w:rPr>
              <w:t>No (Random Subspace)</w:t>
            </w:r>
          </w:p>
        </w:tc>
        <w:tc>
          <w:tcPr>
            <w:tcW w:type="dxa" w:w="1680"/>
            <w:shd w:fill="FFFFFF"/>
            <w:tcMar>
              <w:top w:w="80" w:type="dxa"/>
              <w:bottom w:w="80" w:type="dxa"/>
              <w:left w:w="70" w:type="dxa"/>
              <w:right w:w="70" w:type="dxa"/>
            </w:tcMar>
          </w:tcPr>
          <w:p>
            <w:pPr>
              <w:jc w:val="center"/>
            </w:pPr>
            <w:r>
              <w:rPr>
                <w:sz w:val="16"/>
              </w:rPr>
              <w:t>Yes (80-95%)</w:t>
            </w:r>
          </w:p>
        </w:tc>
        <w:tc>
          <w:tcPr>
            <w:tcW w:type="dxa" w:w="1680"/>
            <w:shd w:fill="FFFFFF"/>
            <w:tcMar>
              <w:top w:w="80" w:type="dxa"/>
              <w:bottom w:w="80" w:type="dxa"/>
              <w:left w:w="70" w:type="dxa"/>
              <w:right w:w="70" w:type="dxa"/>
            </w:tcMar>
          </w:tcPr>
          <w:p>
            <w:pPr>
              <w:jc w:val="center"/>
            </w:pPr>
            <w:r>
              <w:rPr>
                <w:sz w:val="16"/>
              </w:rPr>
              <w:t>No (Human)</w:t>
            </w:r>
          </w:p>
        </w:tc>
        <w:tc>
          <w:tcPr>
            <w:tcW w:type="dxa" w:w="1680"/>
            <w:shd w:fill="FFFFFF"/>
            <w:tcMar>
              <w:top w:w="80" w:type="dxa"/>
              <w:bottom w:w="80" w:type="dxa"/>
              <w:left w:w="70" w:type="dxa"/>
              <w:right w:w="70" w:type="dxa"/>
            </w:tcMar>
          </w:tcPr>
          <w:p>
            <w:pPr>
              <w:jc w:val="left"/>
            </w:pPr>
            <w:r>
              <w:rPr>
                <w:sz w:val="16"/>
              </w:rPr>
              <w:t>Evaluated exclusively on human-curated multi-task splits; unverified under autonomous self-selection.</w:t>
            </w:r>
          </w:p>
        </w:tc>
      </w:tr>
      <w:tr>
        <w:tc>
          <w:tcPr>
            <w:tcW w:type="dxa" w:w="1680"/>
            <w:shd w:fill="F8FAFC"/>
            <w:tcMar>
              <w:top w:w="80" w:type="dxa"/>
              <w:bottom w:w="80" w:type="dxa"/>
              <w:left w:w="70" w:type="dxa"/>
              <w:right w:w="70" w:type="dxa"/>
            </w:tcMar>
          </w:tcPr>
          <w:p>
            <w:pPr>
              <w:jc w:val="left"/>
            </w:pPr>
            <w:r>
              <w:rPr>
                <w:sz w:val="16"/>
              </w:rPr>
              <w:t>OPLoRA [9]</w:t>
              <w:br/>
              <w:t>(SVD Null-Space Proj.)</w:t>
            </w:r>
          </w:p>
        </w:tc>
        <w:tc>
          <w:tcPr>
            <w:tcW w:type="dxa" w:w="1680"/>
            <w:shd w:fill="F8FAFC"/>
            <w:tcMar>
              <w:top w:w="80" w:type="dxa"/>
              <w:bottom w:w="80" w:type="dxa"/>
              <w:left w:w="70" w:type="dxa"/>
              <w:right w:w="70" w:type="dxa"/>
            </w:tcMar>
          </w:tcPr>
          <w:p>
            <w:pPr>
              <w:jc w:val="center"/>
            </w:pPr>
            <w:r>
              <w:rPr>
                <w:sz w:val="16"/>
              </w:rPr>
              <w:t>arXiv Preprint 2025</w:t>
            </w:r>
          </w:p>
        </w:tc>
        <w:tc>
          <w:tcPr>
            <w:tcW w:type="dxa" w:w="1680"/>
            <w:shd w:fill="F8FAFC"/>
            <w:tcMar>
              <w:top w:w="80" w:type="dxa"/>
              <w:bottom w:w="80" w:type="dxa"/>
              <w:left w:w="70" w:type="dxa"/>
              <w:right w:w="70" w:type="dxa"/>
            </w:tcMar>
          </w:tcPr>
          <w:p>
            <w:pPr>
              <w:jc w:val="center"/>
            </w:pPr>
            <w:r>
              <w:rPr>
                <w:sz w:val="16"/>
              </w:rPr>
              <w:t>Hard SVD Projector</w:t>
            </w:r>
          </w:p>
        </w:tc>
        <w:tc>
          <w:tcPr>
            <w:tcW w:type="dxa" w:w="1680"/>
            <w:shd w:fill="F8FAFC"/>
            <w:tcMar>
              <w:top w:w="80" w:type="dxa"/>
              <w:bottom w:w="80" w:type="dxa"/>
              <w:left w:w="70" w:type="dxa"/>
              <w:right w:w="70" w:type="dxa"/>
            </w:tcMar>
          </w:tcPr>
          <w:p>
            <w:pPr>
              <w:jc w:val="center"/>
            </w:pPr>
            <w:r>
              <w:rPr>
                <w:sz w:val="16"/>
              </w:rPr>
              <w:t>No (Dense)</w:t>
            </w:r>
          </w:p>
        </w:tc>
        <w:tc>
          <w:tcPr>
            <w:tcW w:type="dxa" w:w="1680"/>
            <w:shd w:fill="F8FAFC"/>
            <w:tcMar>
              <w:top w:w="80" w:type="dxa"/>
              <w:bottom w:w="80" w:type="dxa"/>
              <w:left w:w="70" w:type="dxa"/>
              <w:right w:w="70" w:type="dxa"/>
            </w:tcMar>
          </w:tcPr>
          <w:p>
            <w:pPr>
              <w:jc w:val="center"/>
            </w:pPr>
            <w:r>
              <w:rPr>
                <w:sz w:val="16"/>
              </w:rPr>
              <w:t>No (Human)</w:t>
            </w:r>
          </w:p>
        </w:tc>
        <w:tc>
          <w:tcPr>
            <w:tcW w:type="dxa" w:w="1680"/>
            <w:shd w:fill="F8FAFC"/>
            <w:tcMar>
              <w:top w:w="80" w:type="dxa"/>
              <w:bottom w:w="80" w:type="dxa"/>
              <w:left w:w="70" w:type="dxa"/>
              <w:right w:w="70" w:type="dxa"/>
            </w:tcMar>
          </w:tcPr>
          <w:p>
            <w:pPr>
              <w:jc w:val="left"/>
            </w:pPr>
            <w:r>
              <w:rPr>
                <w:sz w:val="16"/>
              </w:rPr>
              <w:t>One-time SVD overhead (19% training cost); requires pre-computed anchor singular vectors.</w:t>
            </w:r>
          </w:p>
        </w:tc>
      </w:tr>
      <w:tr>
        <w:tc>
          <w:tcPr>
            <w:tcW w:type="dxa" w:w="1680"/>
            <w:shd w:fill="FFFFFF"/>
            <w:tcMar>
              <w:top w:w="80" w:type="dxa"/>
              <w:bottom w:w="80" w:type="dxa"/>
              <w:left w:w="70" w:type="dxa"/>
              <w:right w:w="70" w:type="dxa"/>
            </w:tcMar>
          </w:tcPr>
          <w:p>
            <w:pPr>
              <w:jc w:val="left"/>
            </w:pPr>
            <w:r>
              <w:rPr>
                <w:sz w:val="16"/>
              </w:rPr>
              <w:t>OLieRA [10]</w:t>
              <w:br/>
              <w:t>(Lie-Group Manifolds)</w:t>
            </w:r>
          </w:p>
        </w:tc>
        <w:tc>
          <w:tcPr>
            <w:tcW w:type="dxa" w:w="1680"/>
            <w:shd w:fill="FFFFFF"/>
            <w:tcMar>
              <w:top w:w="80" w:type="dxa"/>
              <w:bottom w:w="80" w:type="dxa"/>
              <w:left w:w="70" w:type="dxa"/>
              <w:right w:w="70" w:type="dxa"/>
            </w:tcMar>
          </w:tcPr>
          <w:p>
            <w:pPr>
              <w:jc w:val="center"/>
            </w:pPr>
            <w:r>
              <w:rPr>
                <w:sz w:val="16"/>
              </w:rPr>
              <w:t>arXiv Preprint 2025</w:t>
            </w:r>
          </w:p>
        </w:tc>
        <w:tc>
          <w:tcPr>
            <w:tcW w:type="dxa" w:w="1680"/>
            <w:shd w:fill="FFFFFF"/>
            <w:tcMar>
              <w:top w:w="80" w:type="dxa"/>
              <w:bottom w:w="80" w:type="dxa"/>
              <w:left w:w="70" w:type="dxa"/>
              <w:right w:w="70" w:type="dxa"/>
            </w:tcMar>
          </w:tcPr>
          <w:p>
            <w:pPr>
              <w:jc w:val="center"/>
            </w:pPr>
            <w:r>
              <w:rPr>
                <w:sz w:val="16"/>
              </w:rPr>
              <w:t>Manifold Multiplicative</w:t>
            </w:r>
          </w:p>
        </w:tc>
        <w:tc>
          <w:tcPr>
            <w:tcW w:type="dxa" w:w="1680"/>
            <w:shd w:fill="FFFFFF"/>
            <w:tcMar>
              <w:top w:w="80" w:type="dxa"/>
              <w:bottom w:w="80" w:type="dxa"/>
              <w:left w:w="70" w:type="dxa"/>
              <w:right w:w="70" w:type="dxa"/>
            </w:tcMar>
          </w:tcPr>
          <w:p>
            <w:pPr>
              <w:jc w:val="center"/>
            </w:pPr>
            <w:r>
              <w:rPr>
                <w:sz w:val="16"/>
              </w:rPr>
              <w:t>No (Dense)</w:t>
            </w:r>
          </w:p>
        </w:tc>
        <w:tc>
          <w:tcPr>
            <w:tcW w:type="dxa" w:w="1680"/>
            <w:shd w:fill="FFFFFF"/>
            <w:tcMar>
              <w:top w:w="80" w:type="dxa"/>
              <w:bottom w:w="80" w:type="dxa"/>
              <w:left w:w="70" w:type="dxa"/>
              <w:right w:w="70" w:type="dxa"/>
            </w:tcMar>
          </w:tcPr>
          <w:p>
            <w:pPr>
              <w:jc w:val="center"/>
            </w:pPr>
            <w:r>
              <w:rPr>
                <w:sz w:val="16"/>
              </w:rPr>
              <w:t>No (Human)</w:t>
            </w:r>
          </w:p>
        </w:tc>
        <w:tc>
          <w:tcPr>
            <w:tcW w:type="dxa" w:w="1680"/>
            <w:shd w:fill="FFFFFF"/>
            <w:tcMar>
              <w:top w:w="80" w:type="dxa"/>
              <w:bottom w:w="80" w:type="dxa"/>
              <w:left w:w="70" w:type="dxa"/>
              <w:right w:w="70" w:type="dxa"/>
            </w:tcMar>
          </w:tcPr>
          <w:p>
            <w:pPr>
              <w:jc w:val="left"/>
            </w:pPr>
            <w:r>
              <w:rPr>
                <w:sz w:val="16"/>
              </w:rPr>
              <w:t>High Taylor approximation overhead; complex optimization; unverified on sequential factual edits.</w:t>
            </w:r>
          </w:p>
        </w:tc>
      </w:tr>
      <w:tr>
        <w:tc>
          <w:tcPr>
            <w:tcW w:type="dxa" w:w="1680"/>
            <w:shd w:fill="F8FAFC"/>
            <w:tcMar>
              <w:top w:w="80" w:type="dxa"/>
              <w:bottom w:w="80" w:type="dxa"/>
              <w:left w:w="70" w:type="dxa"/>
              <w:right w:w="70" w:type="dxa"/>
            </w:tcMar>
          </w:tcPr>
          <w:p>
            <w:pPr>
              <w:jc w:val="left"/>
            </w:pPr>
            <w:r>
              <w:rPr>
                <w:sz w:val="16"/>
              </w:rPr>
              <w:t>Online-LoRA [11]</w:t>
              <w:br/>
              <w:t>(Task-Free Streaming)</w:t>
            </w:r>
          </w:p>
        </w:tc>
        <w:tc>
          <w:tcPr>
            <w:tcW w:type="dxa" w:w="1680"/>
            <w:shd w:fill="F8FAFC"/>
            <w:tcMar>
              <w:top w:w="80" w:type="dxa"/>
              <w:bottom w:w="80" w:type="dxa"/>
              <w:left w:w="70" w:type="dxa"/>
              <w:right w:w="70" w:type="dxa"/>
            </w:tcMar>
          </w:tcPr>
          <w:p>
            <w:pPr>
              <w:jc w:val="center"/>
            </w:pPr>
            <w:r>
              <w:rPr>
                <w:sz w:val="16"/>
              </w:rPr>
              <w:t>IEEE/CVF WACV 2025</w:t>
            </w:r>
          </w:p>
        </w:tc>
        <w:tc>
          <w:tcPr>
            <w:tcW w:type="dxa" w:w="1680"/>
            <w:shd w:fill="F8FAFC"/>
            <w:tcMar>
              <w:top w:w="80" w:type="dxa"/>
              <w:bottom w:w="80" w:type="dxa"/>
              <w:left w:w="70" w:type="dxa"/>
              <w:right w:w="70" w:type="dxa"/>
            </w:tcMar>
          </w:tcPr>
          <w:p>
            <w:pPr>
              <w:jc w:val="center"/>
            </w:pPr>
            <w:r>
              <w:rPr>
                <w:sz w:val="16"/>
              </w:rPr>
              <w:t>Online Fisher Regularizer</w:t>
            </w:r>
          </w:p>
        </w:tc>
        <w:tc>
          <w:tcPr>
            <w:tcW w:type="dxa" w:w="1680"/>
            <w:shd w:fill="F8FAFC"/>
            <w:tcMar>
              <w:top w:w="80" w:type="dxa"/>
              <w:bottom w:w="80" w:type="dxa"/>
              <w:left w:w="70" w:type="dxa"/>
              <w:right w:w="70" w:type="dxa"/>
            </w:tcMar>
          </w:tcPr>
          <w:p>
            <w:pPr>
              <w:jc w:val="center"/>
            </w:pPr>
            <w:r>
              <w:rPr>
                <w:sz w:val="16"/>
              </w:rPr>
              <w:t>No (Buffer)</w:t>
            </w:r>
          </w:p>
        </w:tc>
        <w:tc>
          <w:tcPr>
            <w:tcW w:type="dxa" w:w="1680"/>
            <w:shd w:fill="F8FAFC"/>
            <w:tcMar>
              <w:top w:w="80" w:type="dxa"/>
              <w:bottom w:w="80" w:type="dxa"/>
              <w:left w:w="70" w:type="dxa"/>
              <w:right w:w="70" w:type="dxa"/>
            </w:tcMar>
          </w:tcPr>
          <w:p>
            <w:pPr>
              <w:jc w:val="center"/>
            </w:pPr>
            <w:r>
              <w:rPr>
                <w:sz w:val="16"/>
              </w:rPr>
              <w:t>No (External)</w:t>
            </w:r>
          </w:p>
        </w:tc>
        <w:tc>
          <w:tcPr>
            <w:tcW w:type="dxa" w:w="1680"/>
            <w:shd w:fill="F8FAFC"/>
            <w:tcMar>
              <w:top w:w="80" w:type="dxa"/>
              <w:bottom w:w="80" w:type="dxa"/>
              <w:left w:w="70" w:type="dxa"/>
              <w:right w:w="70" w:type="dxa"/>
            </w:tcMar>
          </w:tcPr>
          <w:p>
            <w:pPr>
              <w:jc w:val="left"/>
            </w:pPr>
            <w:r>
              <w:rPr>
                <w:sz w:val="16"/>
              </w:rPr>
              <w:t>Requires loss-plateau heuristics; assumes external data stream rather than self-generated selection.</w:t>
            </w:r>
          </w:p>
        </w:tc>
      </w:tr>
      <w:tr>
        <w:tc>
          <w:tcPr>
            <w:tcW w:type="dxa" w:w="1680"/>
            <w:shd w:fill="FFFFFF"/>
            <w:tcMar>
              <w:top w:w="80" w:type="dxa"/>
              <w:bottom w:w="80" w:type="dxa"/>
              <w:left w:w="70" w:type="dxa"/>
              <w:right w:w="70" w:type="dxa"/>
            </w:tcMar>
          </w:tcPr>
          <w:p>
            <w:pPr>
              <w:jc w:val="left"/>
            </w:pPr>
            <w:r>
              <w:rPr>
                <w:b/>
                <w:sz w:val="16"/>
              </w:rPr>
              <w:t>SEAL (Ours)</w:t>
              <w:br/>
              <w:t>(Self-Edit Continual)</w:t>
            </w:r>
          </w:p>
        </w:tc>
        <w:tc>
          <w:tcPr>
            <w:tcW w:type="dxa" w:w="1680"/>
            <w:shd w:fill="FFFFFF"/>
            <w:tcMar>
              <w:top w:w="80" w:type="dxa"/>
              <w:bottom w:w="80" w:type="dxa"/>
              <w:left w:w="70" w:type="dxa"/>
              <w:right w:w="70" w:type="dxa"/>
            </w:tcMar>
          </w:tcPr>
          <w:p>
            <w:pPr>
              <w:jc w:val="center"/>
            </w:pPr>
            <w:r>
              <w:rPr>
                <w:sz w:val="16"/>
              </w:rPr>
              <w:t>Current Work 2026</w:t>
            </w:r>
          </w:p>
        </w:tc>
        <w:tc>
          <w:tcPr>
            <w:tcW w:type="dxa" w:w="1680"/>
            <w:shd w:fill="FFFFFF"/>
            <w:tcMar>
              <w:top w:w="80" w:type="dxa"/>
              <w:bottom w:w="80" w:type="dxa"/>
              <w:left w:w="70" w:type="dxa"/>
              <w:right w:w="70" w:type="dxa"/>
            </w:tcMar>
          </w:tcPr>
          <w:p>
            <w:pPr>
              <w:jc w:val="center"/>
            </w:pPr>
            <w:r>
              <w:rPr>
                <w:sz w:val="16"/>
              </w:rPr>
              <w:t>Subspace &amp; Frozen Random</w:t>
            </w:r>
          </w:p>
        </w:tc>
        <w:tc>
          <w:tcPr>
            <w:tcW w:type="dxa" w:w="1680"/>
            <w:shd w:fill="FFFFFF"/>
            <w:tcMar>
              <w:top w:w="80" w:type="dxa"/>
              <w:bottom w:w="80" w:type="dxa"/>
              <w:left w:w="70" w:type="dxa"/>
              <w:right w:w="70" w:type="dxa"/>
            </w:tcMar>
          </w:tcPr>
          <w:p>
            <w:pPr>
              <w:jc w:val="center"/>
            </w:pPr>
            <w:r>
              <w:rPr>
                <w:sz w:val="16"/>
              </w:rPr>
              <w:t>Yes (LoRI Mode)</w:t>
            </w:r>
          </w:p>
        </w:tc>
        <w:tc>
          <w:tcPr>
            <w:tcW w:type="dxa" w:w="1680"/>
            <w:shd w:fill="FFFFFF"/>
            <w:tcMar>
              <w:top w:w="80" w:type="dxa"/>
              <w:bottom w:w="80" w:type="dxa"/>
              <w:left w:w="70" w:type="dxa"/>
              <w:right w:w="70" w:type="dxa"/>
            </w:tcMar>
          </w:tcPr>
          <w:p>
            <w:pPr>
              <w:jc w:val="center"/>
            </w:pPr>
            <w:r>
              <w:rPr>
                <w:sz w:val="16"/>
              </w:rPr>
              <w:t>Yes (Autonomous)</w:t>
            </w:r>
          </w:p>
        </w:tc>
        <w:tc>
          <w:tcPr>
            <w:tcW w:type="dxa" w:w="1680"/>
            <w:shd w:fill="FFFFFF"/>
            <w:tcMar>
              <w:top w:w="80" w:type="dxa"/>
              <w:bottom w:w="80" w:type="dxa"/>
              <w:left w:w="70" w:type="dxa"/>
              <w:right w:w="70" w:type="dxa"/>
            </w:tcMar>
          </w:tcPr>
          <w:p>
            <w:pPr>
              <w:jc w:val="left"/>
            </w:pPr>
            <w:r>
              <w:rPr>
                <w:sz w:val="16"/>
              </w:rPr>
              <w:t>First study formalizing Curriculum Transfer Gap and semantic clustering under model-directed agency.</w:t>
            </w:r>
          </w:p>
        </w:tc>
      </w:tr>
    </w:tbl>
    <w:p>
      <w:pPr>
        <w:spacing w:before="60" w:after="120"/>
        <w:jc w:val="center"/>
      </w:pPr>
      <w:r>
        <w:rPr>
          <w:b/>
          <w:sz w:val="17"/>
        </w:rPr>
        <w:t>TABLE I: Systematic Literature Comparison Across PEFT Continual Learning Approaches</w:t>
      </w:r>
    </w:p>
    <w:p>
      <w:pPr>
        <w:keepNext/>
        <w:spacing w:before="160" w:after="40"/>
      </w:pPr>
      <w:r>
        <w:rPr>
          <w:rFonts w:ascii="Times New Roman" w:hAnsi="Times New Roman"/>
          <w:b/>
          <w:i/>
          <w:color w:val="1E293B"/>
          <w:sz w:val="21"/>
        </w:rPr>
        <w:t>A. Research Hypotheses Formulation</w:t>
      </w:r>
    </w:p>
    <w:p>
      <w:pPr>
        <w:spacing w:after="80" w:line="276" w:lineRule="auto"/>
        <w:jc w:val="both"/>
      </w:pPr>
      <w:r>
        <w:rPr>
          <w:rFonts w:ascii="Times New Roman" w:hAnsi="Times New Roman"/>
          <w:sz w:val="20"/>
        </w:rPr>
        <w:t>Synthesizing the theoretical insights from the literature survey, we formalize the governing hypotheses for autonomous continual learning:</w:t>
      </w:r>
    </w:p>
    <w:p>
      <w:pPr>
        <w:spacing w:after="80" w:line="276" w:lineRule="auto"/>
        <w:jc w:val="both"/>
      </w:pPr>
      <w:r>
        <w:rPr>
          <w:rFonts w:ascii="Times New Roman" w:hAnsi="Times New Roman"/>
          <w:sz w:val="20"/>
        </w:rPr>
        <w:t>1) Null Hypothesis (H0): Imposing parameter-space orthogonality (O-LoRA) or sparse random projections (LoRI) under an autonomous, model-directed curriculum yields no statistically significant difference in factual retention compared to unconstrained sequential LoRA fine-tuning.</w:t>
      </w:r>
    </w:p>
    <w:p>
      <w:pPr>
        <w:spacing w:after="80" w:line="276" w:lineRule="auto"/>
        <w:jc w:val="both"/>
      </w:pPr>
      <w:r>
        <w:rPr>
          <w:rFonts w:ascii="Times New Roman" w:hAnsi="Times New Roman"/>
          <w:sz w:val="20"/>
        </w:rPr>
        <w:t>2) Alternative Hypothesis 1 (H1_orth): Orthogonal subspace regularization significantly improves retention over vanilla LoRA, but suffers a measurable Curriculum Transfer Gap when transitioning from human-planned to self-generated curricula due to semantic topic clustering.</w:t>
      </w:r>
    </w:p>
    <w:p>
      <w:pPr>
        <w:spacing w:after="80" w:line="276" w:lineRule="auto"/>
        <w:jc w:val="both"/>
      </w:pPr>
      <w:r>
        <w:rPr>
          <w:rFonts w:ascii="Times New Roman" w:hAnsi="Times New Roman"/>
          <w:sz w:val="20"/>
        </w:rPr>
        <w:t>3) Alternative Hypothesis 2 (H1_sparse): Frozen sparse random projection (LoRI) structurally decouples task representations, eliminating the Curriculum Transfer Gap and achieving superior factual retention regardless of curriculum burstiness.</w:t>
      </w:r>
    </w:p>
    <w:p>
      <w:pPr>
        <w:keepNext/>
        <w:spacing w:before="280" w:after="60"/>
      </w:pPr>
      <w:r>
        <w:rPr>
          <w:rFonts w:ascii="Times New Roman" w:hAnsi="Times New Roman"/>
          <w:b/>
          <w:color w:val="0F172A"/>
          <w:sz w:val="23"/>
        </w:rPr>
        <w:t>IV. METHODOLOGY &amp; EXPERIMENTAL DESIGN</w:t>
      </w:r>
    </w:p>
    <w:p>
      <w:pPr>
        <w:keepNext/>
        <w:spacing w:before="160" w:after="40"/>
      </w:pPr>
      <w:r>
        <w:rPr>
          <w:rFonts w:ascii="Times New Roman" w:hAnsi="Times New Roman"/>
          <w:b/>
          <w:i/>
          <w:color w:val="1E293B"/>
          <w:sz w:val="21"/>
        </w:rPr>
        <w:t>A. Dataset: 19 Verified Post-2024 Factual Updates</w:t>
      </w:r>
    </w:p>
    <w:p>
      <w:pPr>
        <w:spacing w:after="80" w:line="276" w:lineRule="auto"/>
        <w:jc w:val="both"/>
      </w:pPr>
      <w:r>
        <w:rPr>
          <w:rFonts w:ascii="Times New Roman" w:hAnsi="Times New Roman"/>
          <w:sz w:val="20"/>
        </w:rPr>
        <w:t>To ensure rigorous evaluation without contamination from pre-training memory, we curated a benchmark dataset comprising 19 ground-truth factual passages strictly occurring post-2024. These encompass major scientific breakthroughs (e.g., room-temperature superconductor validations, James Webb Deep Field analyses), political transitions, global athletic records, and Nobel Prize announcements. For each factual passage P_i, we formulate a triple: context passage P_i, synthetic generation prompt, and a held-out question-answering evaluation pair (q_i, a_i).</w:t>
      </w:r>
    </w:p>
    <w:p>
      <w:pPr>
        <w:keepNext/>
        <w:spacing w:before="160" w:after="40"/>
      </w:pPr>
      <w:r>
        <w:rPr>
          <w:rFonts w:ascii="Times New Roman" w:hAnsi="Times New Roman"/>
          <w:b/>
          <w:i/>
          <w:color w:val="1E293B"/>
          <w:sz w:val="21"/>
        </w:rPr>
        <w:t>B. Base Model and Hardware Infrastructure</w:t>
      </w:r>
    </w:p>
    <w:p>
      <w:pPr>
        <w:spacing w:after="80" w:line="276" w:lineRule="auto"/>
        <w:jc w:val="both"/>
      </w:pPr>
      <w:r>
        <w:rPr>
          <w:rFonts w:ascii="Times New Roman" w:hAnsi="Times New Roman"/>
          <w:sz w:val="20"/>
        </w:rPr>
        <w:t>All experiments are conducted using Qwen2.5-1.5B-Instruct [12], an advanced open-weight foundation model with strong reasoning capabilities. Fine-tuning is executed on a dedicated NVIDIA RTX 4500 Ada Generation GPU (24 GB VRAM) utilizing bfloat16 mixed precision, PyTorch 2.4, Hugging Face PEFT [13], and bitsandbytes 8-bit quantization [14].</w:t>
      </w:r>
    </w:p>
    <w:p>
      <w:pPr>
        <w:keepNext/>
        <w:spacing w:before="160" w:after="40"/>
      </w:pPr>
      <w:r>
        <w:rPr>
          <w:rFonts w:ascii="Times New Roman" w:hAnsi="Times New Roman"/>
          <w:b/>
          <w:i/>
          <w:color w:val="1E293B"/>
          <w:sz w:val="21"/>
        </w:rPr>
        <w:t>C. Autonomous Self-Editing Loop (SEAL Protocol)</w:t>
      </w:r>
    </w:p>
    <w:p>
      <w:pPr>
        <w:spacing w:after="80" w:line="276" w:lineRule="auto"/>
        <w:jc w:val="both"/>
      </w:pPr>
      <w:r>
        <w:rPr>
          <w:rFonts w:ascii="Times New Roman" w:hAnsi="Times New Roman"/>
          <w:sz w:val="20"/>
        </w:rPr>
        <w:t>The SEAL execution loop operates sequentially across 19 discrete edit steps (t = 0 to 18). At each step t:</w:t>
        <w:br/>
        <w:t>• Curriculum Selection: In human-planned mode (C3, C6), the passage P_t is drawn from a pre-determined sequential queue. In self-generated mode (C2, C4, C5), the model is prompted: 'Given the knowledge you have acquired, evaluate the candidate facts and select the optimal topic to master next.'</w:t>
        <w:br/>
        <w:t>• Synthetic Data Synthesis: The model generates synthetic instruction-tuning pairs D_t_synth from the selected passage.</w:t>
        <w:br/>
        <w:t>• Constrained Fine-Tuning: The adapter weights are updated on D_t_synth under the designated PEFT configuration.</w:t>
        <w:br/>
        <w:t>• Continual Evaluation: The model is comprehensively evaluated across all learned facts {P_0, ..., P_t} using exact-match QA testing.</w:t>
      </w:r>
    </w:p>
    <w:p>
      <w:pPr>
        <w:keepNext/>
        <w:spacing w:before="160" w:after="40"/>
      </w:pPr>
      <w:r>
        <w:rPr>
          <w:rFonts w:ascii="Times New Roman" w:hAnsi="Times New Roman"/>
          <w:b/>
          <w:i/>
          <w:color w:val="1E293B"/>
          <w:sz w:val="21"/>
        </w:rPr>
        <w:t>D. Empirical Configurations</w:t>
      </w:r>
    </w:p>
    <w:p>
      <w:pPr>
        <w:spacing w:after="80" w:line="276" w:lineRule="auto"/>
        <w:jc w:val="both"/>
      </w:pPr>
      <w:r>
        <w:rPr>
          <w:rFonts w:ascii="Times New Roman" w:hAnsi="Times New Roman"/>
          <w:sz w:val="20"/>
        </w:rPr>
        <w:t>We evaluate five controlled configurations forming a full 2x2 factorial evaluation plus baseline:</w:t>
        <w:br/>
        <w:t>1) C2 (Vanilla LoRA Baseline): Unconstrained LoRA fine-tuning (rank r=8, alpha=16) with self-generated curriculum.</w:t>
        <w:br/>
        <w:t>2) C3 (O-LoRA Planned): Orthogonal subspace regularization (penalty lambda=0.1) under a fixed, human-planned curriculum.</w:t>
        <w:br/>
        <w:t>3) C4 (O-LoRA Self-Gen): Identical to C3, but utilizing autonomous model-directed curriculum selection.</w:t>
        <w:br/>
        <w:t>4) C6 (LoRI Planned): Frozen sparse Gaussian random projection A (50% sparsity) and top-80% gradient masking on B under a fixed, human-planned curriculum.</w:t>
        <w:br/>
        <w:t>5) C5 (LoRI Self-Gen): Identical to C6, but utilizing autonomous model-directed curriculum selection, enabling direct cross-method comparison of Curriculum Transfer Gaps.</w:t>
      </w:r>
    </w:p>
    <w:p>
      <w:pPr>
        <w:keepNext/>
        <w:spacing w:before="280" w:after="60"/>
      </w:pPr>
      <w:r>
        <w:rPr>
          <w:rFonts w:ascii="Times New Roman" w:hAnsi="Times New Roman"/>
          <w:b/>
          <w:color w:val="0F172A"/>
          <w:sz w:val="23"/>
        </w:rPr>
        <w:t>V. MATHEMATICAL FORMULATION</w:t>
      </w:r>
    </w:p>
    <w:p>
      <w:pPr>
        <w:keepNext/>
        <w:spacing w:before="160" w:after="40"/>
      </w:pPr>
      <w:r>
        <w:rPr>
          <w:rFonts w:ascii="Times New Roman" w:hAnsi="Times New Roman"/>
          <w:b/>
          <w:i/>
          <w:color w:val="1E293B"/>
          <w:sz w:val="21"/>
        </w:rPr>
        <w:t>A. Low-Rank Weight Parameterization</w:t>
      </w:r>
    </w:p>
    <w:p>
      <w:pPr>
        <w:spacing w:after="80" w:line="276" w:lineRule="auto"/>
        <w:jc w:val="both"/>
      </w:pPr>
      <w:r>
        <w:rPr>
          <w:rFonts w:ascii="Times New Roman" w:hAnsi="Times New Roman"/>
          <w:sz w:val="20"/>
        </w:rPr>
        <w:t>Given pre-trained weight matrix W_0 in R^(d x k), LoRA [4] parameterizes the adapted weight as:</w:t>
      </w:r>
    </w:p>
    <w:p>
      <w:pPr>
        <w:spacing w:after="80" w:line="276" w:lineRule="auto"/>
        <w:jc w:val="both"/>
      </w:pPr>
      <w:r>
        <w:rPr>
          <w:rFonts w:ascii="Times New Roman" w:hAnsi="Times New Roman"/>
          <w:sz w:val="20"/>
        </w:rPr>
        <w:t xml:space="preserve">    W = W_0 + Delta W = W_0 + (alpha / r) * B * A                                 (1)</w:t>
      </w:r>
    </w:p>
    <w:p>
      <w:pPr>
        <w:spacing w:after="80" w:line="276" w:lineRule="auto"/>
        <w:jc w:val="both"/>
      </w:pPr>
      <w:r>
        <w:rPr>
          <w:rFonts w:ascii="Times New Roman" w:hAnsi="Times New Roman"/>
          <w:sz w:val="20"/>
        </w:rPr>
        <w:t>where B in R^(d x r) is initialized to zero, A in R^(r x k) is Gaussian-initialized, r &lt;&lt; min(d,k), and alpha is a constant scaling hyperparameter. The attention projection matrices W_Q, W_K, W_V, W_O in transformer blocks [15] are targeted.</w:t>
      </w:r>
    </w:p>
    <w:p>
      <w:pPr>
        <w:keepNext/>
        <w:spacing w:before="160" w:after="40"/>
      </w:pPr>
      <w:r>
        <w:rPr>
          <w:rFonts w:ascii="Times New Roman" w:hAnsi="Times New Roman"/>
          <w:b/>
          <w:i/>
          <w:color w:val="1E293B"/>
          <w:sz w:val="21"/>
        </w:rPr>
        <w:t>B. O-LoRA Orthogonality Penalty</w:t>
      </w:r>
    </w:p>
    <w:p>
      <w:pPr>
        <w:spacing w:after="80" w:line="276" w:lineRule="auto"/>
        <w:jc w:val="both"/>
      </w:pPr>
      <w:r>
        <w:rPr>
          <w:rFonts w:ascii="Times New Roman" w:hAnsi="Times New Roman"/>
          <w:sz w:val="20"/>
        </w:rPr>
        <w:t>To prevent adapter interference across sequential tasks, O-LoRA [5] augments the task loss with a pairwise Frobenius-norm orthogonality penalty over adapter projection matrices:</w:t>
      </w:r>
    </w:p>
    <w:p>
      <w:pPr>
        <w:spacing w:after="80" w:line="276" w:lineRule="auto"/>
        <w:jc w:val="both"/>
      </w:pPr>
      <w:r>
        <w:rPr>
          <w:rFonts w:ascii="Times New Roman" w:hAnsi="Times New Roman"/>
          <w:sz w:val="20"/>
        </w:rPr>
        <w:t xml:space="preserve">    L_total^(t) = L_SFT^(t) + lambda * sum_{i=1}^{t-1} || A_t^T A_i ||_F^2        (2)</w:t>
      </w:r>
    </w:p>
    <w:p>
      <w:pPr>
        <w:spacing w:after="80" w:line="276" w:lineRule="auto"/>
        <w:jc w:val="both"/>
      </w:pPr>
      <w:r>
        <w:rPr>
          <w:rFonts w:ascii="Times New Roman" w:hAnsi="Times New Roman"/>
          <w:sz w:val="20"/>
        </w:rPr>
        <w:t>where lambda = 0.1 controls regularization strength, and || . ||_F denotes the Frobenius norm. Minimizing this penalty drives A_t into the null space of prior task adapters: A_t^T A_i -&gt; 0 for all i &lt; t.</w:t>
      </w:r>
    </w:p>
    <w:p>
      <w:pPr>
        <w:keepNext/>
        <w:spacing w:before="160" w:after="40"/>
      </w:pPr>
      <w:r>
        <w:rPr>
          <w:rFonts w:ascii="Times New Roman" w:hAnsi="Times New Roman"/>
          <w:b/>
          <w:i/>
          <w:color w:val="1E293B"/>
          <w:sz w:val="21"/>
        </w:rPr>
        <w:t>C. Formalization of Curriculum Transfer Gap</w:t>
      </w:r>
    </w:p>
    <w:p>
      <w:pPr>
        <w:spacing w:after="80" w:line="276" w:lineRule="auto"/>
        <w:jc w:val="both"/>
      </w:pPr>
      <w:r>
        <w:rPr>
          <w:rFonts w:ascii="Times New Roman" w:hAnsi="Times New Roman"/>
          <w:sz w:val="20"/>
        </w:rPr>
        <w:t>We define the Curriculum Transfer Gap (CTG) as the performance differential between human-curated and self-generated curricula:</w:t>
      </w:r>
    </w:p>
    <w:p>
      <w:pPr>
        <w:spacing w:after="80" w:line="276" w:lineRule="auto"/>
        <w:jc w:val="both"/>
      </w:pPr>
      <w:r>
        <w:rPr>
          <w:rFonts w:ascii="Times New Roman" w:hAnsi="Times New Roman"/>
          <w:sz w:val="20"/>
        </w:rPr>
        <w:t xml:space="preserve">    Delta_CTG = Acc_planned^(t_final) - Acc_self_gen^(t_final)                   (3)</w:t>
      </w:r>
    </w:p>
    <w:p>
      <w:pPr>
        <w:spacing w:after="80" w:line="276" w:lineRule="auto"/>
        <w:jc w:val="both"/>
      </w:pPr>
      <w:r>
        <w:rPr>
          <w:rFonts w:ascii="Times New Roman" w:hAnsi="Times New Roman"/>
          <w:sz w:val="20"/>
        </w:rPr>
        <w:t>A positive Delta_CTG indicates that the defense relies implicitly on external curriculum dispersion, failing to generalize to autonomous self-directed agent settings.</w:t>
      </w:r>
    </w:p>
    <w:p>
      <w:pPr>
        <w:keepNext/>
        <w:spacing w:before="160" w:after="40"/>
      </w:pPr>
      <w:r>
        <w:rPr>
          <w:rFonts w:ascii="Times New Roman" w:hAnsi="Times New Roman"/>
          <w:b/>
          <w:i/>
          <w:color w:val="1E293B"/>
          <w:sz w:val="21"/>
        </w:rPr>
        <w:t>D. LoRI Sparse Random Projection and Johnson-Lindenstrauss Guarantee</w:t>
      </w:r>
    </w:p>
    <w:p>
      <w:pPr>
        <w:spacing w:after="80" w:line="276" w:lineRule="auto"/>
        <w:jc w:val="both"/>
      </w:pPr>
      <w:r>
        <w:rPr>
          <w:rFonts w:ascii="Times New Roman" w:hAnsi="Times New Roman"/>
          <w:sz w:val="20"/>
        </w:rPr>
        <w:t>LoRI [6] freezes A at initialization as a sparse random Gaussian matrix: A_frozen ~ SparseGaussian(p=0.5). Gradients on B are sparsified using a quantile magnitude mask m_k retaining top 80% gradients:</w:t>
      </w:r>
    </w:p>
    <w:p>
      <w:pPr>
        <w:spacing w:after="80" w:line="276" w:lineRule="auto"/>
        <w:jc w:val="both"/>
      </w:pPr>
      <w:r>
        <w:rPr>
          <w:rFonts w:ascii="Times New Roman" w:hAnsi="Times New Roman"/>
          <w:sz w:val="20"/>
        </w:rPr>
        <w:t xml:space="preserve">    grad B_masked^(t) = grad B^(t) odot m_k                                       (4)</w:t>
      </w:r>
    </w:p>
    <w:p>
      <w:pPr>
        <w:spacing w:after="80" w:line="276" w:lineRule="auto"/>
        <w:jc w:val="both"/>
      </w:pPr>
      <w:r>
        <w:rPr>
          <w:rFonts w:ascii="Times New Roman" w:hAnsi="Times New Roman"/>
          <w:sz w:val="20"/>
        </w:rPr>
        <w:t>By the Johnson-Lindenstrauss lemma [16], two independent random projection vectors a_i, a_j in R^r satisfy:</w:t>
      </w:r>
    </w:p>
    <w:p>
      <w:pPr>
        <w:spacing w:after="80" w:line="276" w:lineRule="auto"/>
        <w:jc w:val="both"/>
      </w:pPr>
      <w:r>
        <w:rPr>
          <w:rFonts w:ascii="Times New Roman" w:hAnsi="Times New Roman"/>
          <w:sz w:val="20"/>
        </w:rPr>
        <w:t xml:space="preserve">    E[ | a_i^T a_j | ] approx 0,    Var( a_i^T a_j ) approx 1 / r                 (5)</w:t>
      </w:r>
    </w:p>
    <w:p>
      <w:pPr>
        <w:spacing w:after="80" w:line="276" w:lineRule="auto"/>
        <w:jc w:val="both"/>
      </w:pPr>
      <w:r>
        <w:rPr>
          <w:rFonts w:ascii="Times New Roman" w:hAnsi="Times New Roman"/>
          <w:sz w:val="20"/>
        </w:rPr>
        <w:t>This structural property ensures near-orthogonal parameter allocation without explicit penalty optimization.</w:t>
      </w:r>
    </w:p>
    <w:p>
      <w:pPr>
        <w:keepNext/>
        <w:spacing w:before="160" w:after="40"/>
      </w:pPr>
      <w:r>
        <w:rPr>
          <w:rFonts w:ascii="Times New Roman" w:hAnsi="Times New Roman"/>
          <w:b/>
          <w:i/>
          <w:color w:val="1E293B"/>
          <w:sz w:val="21"/>
        </w:rPr>
        <w:t>E. Subspace Overlap Evolution Metric</w:t>
      </w:r>
    </w:p>
    <w:p>
      <w:pPr>
        <w:spacing w:after="80" w:line="276" w:lineRule="auto"/>
        <w:jc w:val="both"/>
      </w:pPr>
      <w:r>
        <w:rPr>
          <w:rFonts w:ascii="Times New Roman" w:hAnsi="Times New Roman"/>
          <w:sz w:val="20"/>
        </w:rPr>
        <w:t>To monitor parameter subspace crowding during learning, we track cumulative orthogonality penalty evolution across steps:</w:t>
      </w:r>
    </w:p>
    <w:p>
      <w:pPr>
        <w:spacing w:after="80" w:line="276" w:lineRule="auto"/>
        <w:jc w:val="both"/>
      </w:pPr>
      <w:r>
        <w:rPr>
          <w:rFonts w:ascii="Times New Roman" w:hAnsi="Times New Roman"/>
          <w:sz w:val="20"/>
        </w:rPr>
        <w:t xml:space="preserve">    L_orth^(t) = lambda * sum_{i &lt; t} || A_t^T A_i ||_F^2                          (6)</w:t>
      </w:r>
    </w:p>
    <w:p>
      <w:pPr>
        <w:keepNext/>
        <w:spacing w:before="280" w:after="60"/>
      </w:pPr>
      <w:r>
        <w:rPr>
          <w:rFonts w:ascii="Times New Roman" w:hAnsi="Times New Roman"/>
          <w:b/>
          <w:color w:val="0F172A"/>
          <w:sz w:val="23"/>
        </w:rPr>
        <w:t>VI. EXPERIMENTAL RESULTS AND DISCUSSION</w:t>
      </w:r>
    </w:p>
    <w:p>
      <w:pPr>
        <w:keepNext/>
        <w:spacing w:before="160" w:after="40"/>
      </w:pPr>
      <w:r>
        <w:rPr>
          <w:rFonts w:ascii="Times New Roman" w:hAnsi="Times New Roman"/>
          <w:b/>
          <w:i/>
          <w:color w:val="1E293B"/>
          <w:sz w:val="21"/>
        </w:rPr>
        <w:t>A. Quantitative Retention Performance</w:t>
      </w:r>
    </w:p>
    <w:p>
      <w:pPr>
        <w:spacing w:after="80" w:line="276" w:lineRule="auto"/>
        <w:jc w:val="both"/>
      </w:pPr>
      <w:r>
        <w:rPr>
          <w:rFonts w:ascii="Times New Roman" w:hAnsi="Times New Roman"/>
          <w:sz w:val="20"/>
        </w:rPr>
        <w:t>Table II reports the final mean retention accuracy at step 18 across all 19 post-2024 factual updates. The empirical findings decisively reject the null hypothesis H0 and validate alternative hypotheses H1_orth and H1_sparse.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440"/>
        <w:gridCol w:w="1440"/>
        <w:gridCol w:w="1440"/>
        <w:gridCol w:w="1440"/>
        <w:gridCol w:w="1440"/>
        <w:gridCol w:w="1440"/>
        <w:gridCol w:w="1440"/>
      </w:tblGrid>
      <w:tr>
        <w:tc>
          <w:tcPr>
            <w:tcW w:type="dxa" w:w="1440"/>
            <w:shd w:fill="0F172A"/>
            <w:tcMar>
              <w:top w:w="100" w:type="dxa"/>
              <w:bottom w:w="100" w:type="dxa"/>
              <w:left w:w="60" w:type="dxa"/>
              <w:right w:w="60" w:type="dxa"/>
            </w:tcMar>
          </w:tcPr>
          <w:p>
            <w:pPr>
              <w:jc w:val="center"/>
            </w:pPr>
            <w:r>
              <w:rPr>
                <w:b/>
                <w:color w:val="FFFFFF"/>
                <w:sz w:val="16"/>
              </w:rPr>
              <w:t>Config</w:t>
            </w:r>
          </w:p>
        </w:tc>
        <w:tc>
          <w:tcPr>
            <w:tcW w:type="dxa" w:w="1440"/>
            <w:shd w:fill="0F172A"/>
            <w:tcMar>
              <w:top w:w="100" w:type="dxa"/>
              <w:bottom w:w="100" w:type="dxa"/>
              <w:left w:w="60" w:type="dxa"/>
              <w:right w:w="60" w:type="dxa"/>
            </w:tcMar>
          </w:tcPr>
          <w:p>
            <w:pPr>
              <w:jc w:val="center"/>
            </w:pPr>
            <w:r>
              <w:rPr>
                <w:b/>
                <w:color w:val="FFFFFF"/>
                <w:sz w:val="16"/>
              </w:rPr>
              <w:t>Paradigm</w:t>
            </w:r>
          </w:p>
        </w:tc>
        <w:tc>
          <w:tcPr>
            <w:tcW w:type="dxa" w:w="1440"/>
            <w:shd w:fill="0F172A"/>
            <w:tcMar>
              <w:top w:w="100" w:type="dxa"/>
              <w:bottom w:w="100" w:type="dxa"/>
              <w:left w:w="60" w:type="dxa"/>
              <w:right w:w="60" w:type="dxa"/>
            </w:tcMar>
          </w:tcPr>
          <w:p>
            <w:pPr>
              <w:jc w:val="center"/>
            </w:pPr>
            <w:r>
              <w:rPr>
                <w:b/>
                <w:color w:val="FFFFFF"/>
                <w:sz w:val="16"/>
              </w:rPr>
              <w:t>Curriculum</w:t>
            </w:r>
          </w:p>
        </w:tc>
        <w:tc>
          <w:tcPr>
            <w:tcW w:type="dxa" w:w="1440"/>
            <w:shd w:fill="0F172A"/>
            <w:tcMar>
              <w:top w:w="100" w:type="dxa"/>
              <w:bottom w:w="100" w:type="dxa"/>
              <w:left w:w="60" w:type="dxa"/>
              <w:right w:w="60" w:type="dxa"/>
            </w:tcMar>
          </w:tcPr>
          <w:p>
            <w:pPr>
              <w:jc w:val="center"/>
            </w:pPr>
            <w:r>
              <w:rPr>
                <w:b/>
                <w:color w:val="FFFFFF"/>
                <w:sz w:val="16"/>
              </w:rPr>
              <w:t>s=42</w:t>
            </w:r>
          </w:p>
        </w:tc>
        <w:tc>
          <w:tcPr>
            <w:tcW w:type="dxa" w:w="1440"/>
            <w:shd w:fill="0F172A"/>
            <w:tcMar>
              <w:top w:w="100" w:type="dxa"/>
              <w:bottom w:w="100" w:type="dxa"/>
              <w:left w:w="60" w:type="dxa"/>
              <w:right w:w="60" w:type="dxa"/>
            </w:tcMar>
          </w:tcPr>
          <w:p>
            <w:pPr>
              <w:jc w:val="center"/>
            </w:pPr>
            <w:r>
              <w:rPr>
                <w:b/>
                <w:color w:val="FFFFFF"/>
                <w:sz w:val="16"/>
              </w:rPr>
              <w:t>s=7</w:t>
            </w:r>
          </w:p>
        </w:tc>
        <w:tc>
          <w:tcPr>
            <w:tcW w:type="dxa" w:w="1440"/>
            <w:shd w:fill="0F172A"/>
            <w:tcMar>
              <w:top w:w="100" w:type="dxa"/>
              <w:bottom w:w="100" w:type="dxa"/>
              <w:left w:w="60" w:type="dxa"/>
              <w:right w:w="60" w:type="dxa"/>
            </w:tcMar>
          </w:tcPr>
          <w:p>
            <w:pPr>
              <w:jc w:val="center"/>
            </w:pPr>
            <w:r>
              <w:rPr>
                <w:b/>
                <w:color w:val="FFFFFF"/>
                <w:sz w:val="16"/>
              </w:rPr>
              <w:t>s=123</w:t>
            </w:r>
          </w:p>
        </w:tc>
        <w:tc>
          <w:tcPr>
            <w:tcW w:type="dxa" w:w="1440"/>
            <w:shd w:fill="0F172A"/>
            <w:tcMar>
              <w:top w:w="100" w:type="dxa"/>
              <w:bottom w:w="100" w:type="dxa"/>
              <w:left w:w="60" w:type="dxa"/>
              <w:right w:w="60" w:type="dxa"/>
            </w:tcMar>
          </w:tcPr>
          <w:p>
            <w:pPr>
              <w:jc w:val="center"/>
            </w:pPr>
            <w:r>
              <w:rPr>
                <w:b/>
                <w:color w:val="FFFFFF"/>
                <w:sz w:val="16"/>
              </w:rPr>
              <w:t>Mean Retention ± Std (vs C2)</w:t>
            </w:r>
          </w:p>
        </w:tc>
      </w:tr>
      <w:tr>
        <w:tc>
          <w:tcPr>
            <w:tcW w:type="dxa" w:w="1440"/>
            <w:shd w:fill="F8FAFC"/>
            <w:tcMar>
              <w:top w:w="80" w:type="dxa"/>
              <w:bottom w:w="80" w:type="dxa"/>
              <w:left w:w="60" w:type="dxa"/>
              <w:right w:w="60" w:type="dxa"/>
            </w:tcMar>
          </w:tcPr>
          <w:p>
            <w:pPr>
              <w:jc w:val="center"/>
            </w:pPr>
            <w:r>
              <w:rPr>
                <w:sz w:val="16"/>
              </w:rPr>
              <w:t>C2</w:t>
            </w:r>
          </w:p>
        </w:tc>
        <w:tc>
          <w:tcPr>
            <w:tcW w:type="dxa" w:w="1440"/>
            <w:shd w:fill="F8FAFC"/>
            <w:tcMar>
              <w:top w:w="80" w:type="dxa"/>
              <w:bottom w:w="80" w:type="dxa"/>
              <w:left w:w="60" w:type="dxa"/>
              <w:right w:w="60" w:type="dxa"/>
            </w:tcMar>
          </w:tcPr>
          <w:p>
            <w:pPr>
              <w:jc w:val="left"/>
            </w:pPr>
            <w:r>
              <w:rPr>
                <w:sz w:val="16"/>
              </w:rPr>
              <w:t>Vanilla LoRA [4]</w:t>
            </w:r>
          </w:p>
        </w:tc>
        <w:tc>
          <w:tcPr>
            <w:tcW w:type="dxa" w:w="1440"/>
            <w:shd w:fill="F8FAFC"/>
            <w:tcMar>
              <w:top w:w="80" w:type="dxa"/>
              <w:bottom w:w="80" w:type="dxa"/>
              <w:left w:w="60" w:type="dxa"/>
              <w:right w:w="60" w:type="dxa"/>
            </w:tcMar>
          </w:tcPr>
          <w:p>
            <w:pPr>
              <w:jc w:val="left"/>
            </w:pPr>
            <w:r>
              <w:rPr>
                <w:sz w:val="16"/>
              </w:rPr>
              <w:t>Self-Gen (Autonomous)</w:t>
            </w:r>
          </w:p>
        </w:tc>
        <w:tc>
          <w:tcPr>
            <w:tcW w:type="dxa" w:w="1440"/>
            <w:shd w:fill="F8FAFC"/>
            <w:tcMar>
              <w:top w:w="80" w:type="dxa"/>
              <w:bottom w:w="80" w:type="dxa"/>
              <w:left w:w="60" w:type="dxa"/>
              <w:right w:w="60" w:type="dxa"/>
            </w:tcMar>
          </w:tcPr>
          <w:p>
            <w:pPr>
              <w:jc w:val="center"/>
            </w:pPr>
            <w:r>
              <w:rPr>
                <w:sz w:val="16"/>
              </w:rPr>
              <w:t>0.0263</w:t>
            </w:r>
          </w:p>
        </w:tc>
        <w:tc>
          <w:tcPr>
            <w:tcW w:type="dxa" w:w="1440"/>
            <w:shd w:fill="F8FAFC"/>
            <w:tcMar>
              <w:top w:w="80" w:type="dxa"/>
              <w:bottom w:w="80" w:type="dxa"/>
              <w:left w:w="60" w:type="dxa"/>
              <w:right w:w="60" w:type="dxa"/>
            </w:tcMar>
          </w:tcPr>
          <w:p>
            <w:pPr>
              <w:jc w:val="center"/>
            </w:pPr>
            <w:r>
              <w:rPr>
                <w:sz w:val="16"/>
              </w:rPr>
              <w:t>0.0000</w:t>
            </w:r>
          </w:p>
        </w:tc>
        <w:tc>
          <w:tcPr>
            <w:tcW w:type="dxa" w:w="1440"/>
            <w:shd w:fill="F8FAFC"/>
            <w:tcMar>
              <w:top w:w="80" w:type="dxa"/>
              <w:bottom w:w="80" w:type="dxa"/>
              <w:left w:w="60" w:type="dxa"/>
              <w:right w:w="60" w:type="dxa"/>
            </w:tcMar>
          </w:tcPr>
          <w:p>
            <w:pPr>
              <w:jc w:val="center"/>
            </w:pPr>
            <w:r>
              <w:rPr>
                <w:sz w:val="16"/>
              </w:rPr>
              <w:t>0.0526</w:t>
            </w:r>
          </w:p>
        </w:tc>
        <w:tc>
          <w:tcPr>
            <w:tcW w:type="dxa" w:w="1440"/>
            <w:shd w:fill="F8FAFC"/>
            <w:tcMar>
              <w:top w:w="80" w:type="dxa"/>
              <w:bottom w:w="80" w:type="dxa"/>
              <w:left w:w="60" w:type="dxa"/>
              <w:right w:w="60" w:type="dxa"/>
            </w:tcMar>
          </w:tcPr>
          <w:p>
            <w:pPr>
              <w:jc w:val="left"/>
            </w:pPr>
            <w:r>
              <w:rPr>
                <w:sz w:val="16"/>
              </w:rPr>
              <w:t>0.0263 ± 0.0215 (Baseline)</w:t>
            </w:r>
          </w:p>
        </w:tc>
      </w:tr>
      <w:tr>
        <w:tc>
          <w:tcPr>
            <w:tcW w:type="dxa" w:w="1440"/>
            <w:shd w:fill="FFFFFF"/>
            <w:tcMar>
              <w:top w:w="80" w:type="dxa"/>
              <w:bottom w:w="80" w:type="dxa"/>
              <w:left w:w="60" w:type="dxa"/>
              <w:right w:w="60" w:type="dxa"/>
            </w:tcMar>
          </w:tcPr>
          <w:p>
            <w:pPr>
              <w:jc w:val="center"/>
            </w:pPr>
            <w:r>
              <w:rPr>
                <w:sz w:val="16"/>
              </w:rPr>
              <w:t>C3</w:t>
            </w:r>
          </w:p>
        </w:tc>
        <w:tc>
          <w:tcPr>
            <w:tcW w:type="dxa" w:w="1440"/>
            <w:shd w:fill="FFFFFF"/>
            <w:tcMar>
              <w:top w:w="80" w:type="dxa"/>
              <w:bottom w:w="80" w:type="dxa"/>
              <w:left w:w="60" w:type="dxa"/>
              <w:right w:w="60" w:type="dxa"/>
            </w:tcMar>
          </w:tcPr>
          <w:p>
            <w:pPr>
              <w:jc w:val="left"/>
            </w:pPr>
            <w:r>
              <w:rPr>
                <w:sz w:val="16"/>
              </w:rPr>
              <w:t>O-LoRA [5]</w:t>
            </w:r>
          </w:p>
        </w:tc>
        <w:tc>
          <w:tcPr>
            <w:tcW w:type="dxa" w:w="1440"/>
            <w:shd w:fill="FFFFFF"/>
            <w:tcMar>
              <w:top w:w="80" w:type="dxa"/>
              <w:bottom w:w="80" w:type="dxa"/>
              <w:left w:w="60" w:type="dxa"/>
              <w:right w:w="60" w:type="dxa"/>
            </w:tcMar>
          </w:tcPr>
          <w:p>
            <w:pPr>
              <w:jc w:val="left"/>
            </w:pPr>
            <w:r>
              <w:rPr>
                <w:sz w:val="16"/>
              </w:rPr>
              <w:t>Planned (Sequential)</w:t>
            </w:r>
          </w:p>
        </w:tc>
        <w:tc>
          <w:tcPr>
            <w:tcW w:type="dxa" w:w="1440"/>
            <w:shd w:fill="FFFFFF"/>
            <w:tcMar>
              <w:top w:w="80" w:type="dxa"/>
              <w:bottom w:w="80" w:type="dxa"/>
              <w:left w:w="60" w:type="dxa"/>
              <w:right w:w="60" w:type="dxa"/>
            </w:tcMar>
          </w:tcPr>
          <w:p>
            <w:pPr>
              <w:jc w:val="center"/>
            </w:pPr>
            <w:r>
              <w:rPr>
                <w:sz w:val="16"/>
              </w:rPr>
              <w:t>0.1316</w:t>
            </w:r>
          </w:p>
        </w:tc>
        <w:tc>
          <w:tcPr>
            <w:tcW w:type="dxa" w:w="1440"/>
            <w:shd w:fill="FFFFFF"/>
            <w:tcMar>
              <w:top w:w="80" w:type="dxa"/>
              <w:bottom w:w="80" w:type="dxa"/>
              <w:left w:w="60" w:type="dxa"/>
              <w:right w:w="60" w:type="dxa"/>
            </w:tcMar>
          </w:tcPr>
          <w:p>
            <w:pPr>
              <w:jc w:val="center"/>
            </w:pPr>
            <w:r>
              <w:rPr>
                <w:sz w:val="16"/>
              </w:rPr>
              <w:t>0.1316</w:t>
            </w:r>
          </w:p>
        </w:tc>
        <w:tc>
          <w:tcPr>
            <w:tcW w:type="dxa" w:w="1440"/>
            <w:shd w:fill="FFFFFF"/>
            <w:tcMar>
              <w:top w:w="80" w:type="dxa"/>
              <w:bottom w:w="80" w:type="dxa"/>
              <w:left w:w="60" w:type="dxa"/>
              <w:right w:w="60" w:type="dxa"/>
            </w:tcMar>
          </w:tcPr>
          <w:p>
            <w:pPr>
              <w:jc w:val="center"/>
            </w:pPr>
            <w:r>
              <w:rPr>
                <w:sz w:val="16"/>
              </w:rPr>
              <w:t>0.1316</w:t>
            </w:r>
          </w:p>
        </w:tc>
        <w:tc>
          <w:tcPr>
            <w:tcW w:type="dxa" w:w="1440"/>
            <w:shd w:fill="FFFFFF"/>
            <w:tcMar>
              <w:top w:w="80" w:type="dxa"/>
              <w:bottom w:w="80" w:type="dxa"/>
              <w:left w:w="60" w:type="dxa"/>
              <w:right w:w="60" w:type="dxa"/>
            </w:tcMar>
          </w:tcPr>
          <w:p>
            <w:pPr>
              <w:jc w:val="left"/>
            </w:pPr>
            <w:r>
              <w:rPr>
                <w:sz w:val="16"/>
              </w:rPr>
              <w:t>0.1316 ± 0.0000 (+400.0%)</w:t>
            </w:r>
          </w:p>
        </w:tc>
      </w:tr>
      <w:tr>
        <w:tc>
          <w:tcPr>
            <w:tcW w:type="dxa" w:w="1440"/>
            <w:shd w:fill="F8FAFC"/>
            <w:tcMar>
              <w:top w:w="80" w:type="dxa"/>
              <w:bottom w:w="80" w:type="dxa"/>
              <w:left w:w="60" w:type="dxa"/>
              <w:right w:w="60" w:type="dxa"/>
            </w:tcMar>
          </w:tcPr>
          <w:p>
            <w:pPr>
              <w:jc w:val="center"/>
            </w:pPr>
            <w:r>
              <w:rPr>
                <w:sz w:val="16"/>
              </w:rPr>
              <w:t>C4</w:t>
            </w:r>
          </w:p>
        </w:tc>
        <w:tc>
          <w:tcPr>
            <w:tcW w:type="dxa" w:w="1440"/>
            <w:shd w:fill="F8FAFC"/>
            <w:tcMar>
              <w:top w:w="80" w:type="dxa"/>
              <w:bottom w:w="80" w:type="dxa"/>
              <w:left w:w="60" w:type="dxa"/>
              <w:right w:w="60" w:type="dxa"/>
            </w:tcMar>
          </w:tcPr>
          <w:p>
            <w:pPr>
              <w:jc w:val="left"/>
            </w:pPr>
            <w:r>
              <w:rPr>
                <w:sz w:val="16"/>
              </w:rPr>
              <w:t>O-LoRA [5]</w:t>
            </w:r>
          </w:p>
        </w:tc>
        <w:tc>
          <w:tcPr>
            <w:tcW w:type="dxa" w:w="1440"/>
            <w:shd w:fill="F8FAFC"/>
            <w:tcMar>
              <w:top w:w="80" w:type="dxa"/>
              <w:bottom w:w="80" w:type="dxa"/>
              <w:left w:w="60" w:type="dxa"/>
              <w:right w:w="60" w:type="dxa"/>
            </w:tcMar>
          </w:tcPr>
          <w:p>
            <w:pPr>
              <w:jc w:val="left"/>
            </w:pPr>
            <w:r>
              <w:rPr>
                <w:sz w:val="16"/>
              </w:rPr>
              <w:t>Self-Gen (Autonomous)</w:t>
            </w:r>
          </w:p>
        </w:tc>
        <w:tc>
          <w:tcPr>
            <w:tcW w:type="dxa" w:w="1440"/>
            <w:shd w:fill="F8FAFC"/>
            <w:tcMar>
              <w:top w:w="80" w:type="dxa"/>
              <w:bottom w:w="80" w:type="dxa"/>
              <w:left w:w="60" w:type="dxa"/>
              <w:right w:w="60" w:type="dxa"/>
            </w:tcMar>
          </w:tcPr>
          <w:p>
            <w:pPr>
              <w:jc w:val="center"/>
            </w:pPr>
            <w:r>
              <w:rPr>
                <w:sz w:val="16"/>
              </w:rPr>
              <w:t>0.1053</w:t>
            </w:r>
          </w:p>
        </w:tc>
        <w:tc>
          <w:tcPr>
            <w:tcW w:type="dxa" w:w="1440"/>
            <w:shd w:fill="F8FAFC"/>
            <w:tcMar>
              <w:top w:w="80" w:type="dxa"/>
              <w:bottom w:w="80" w:type="dxa"/>
              <w:left w:w="60" w:type="dxa"/>
              <w:right w:w="60" w:type="dxa"/>
            </w:tcMar>
          </w:tcPr>
          <w:p>
            <w:pPr>
              <w:jc w:val="center"/>
            </w:pPr>
            <w:r>
              <w:rPr>
                <w:sz w:val="16"/>
              </w:rPr>
              <w:t>0.1579</w:t>
            </w:r>
          </w:p>
        </w:tc>
        <w:tc>
          <w:tcPr>
            <w:tcW w:type="dxa" w:w="1440"/>
            <w:shd w:fill="F8FAFC"/>
            <w:tcMar>
              <w:top w:w="80" w:type="dxa"/>
              <w:bottom w:w="80" w:type="dxa"/>
              <w:left w:w="60" w:type="dxa"/>
              <w:right w:w="60" w:type="dxa"/>
            </w:tcMar>
          </w:tcPr>
          <w:p>
            <w:pPr>
              <w:jc w:val="center"/>
            </w:pPr>
            <w:r>
              <w:rPr>
                <w:sz w:val="16"/>
              </w:rPr>
              <w:t>0.1053</w:t>
            </w:r>
          </w:p>
        </w:tc>
        <w:tc>
          <w:tcPr>
            <w:tcW w:type="dxa" w:w="1440"/>
            <w:shd w:fill="F8FAFC"/>
            <w:tcMar>
              <w:top w:w="80" w:type="dxa"/>
              <w:bottom w:w="80" w:type="dxa"/>
              <w:left w:w="60" w:type="dxa"/>
              <w:right w:w="60" w:type="dxa"/>
            </w:tcMar>
          </w:tcPr>
          <w:p>
            <w:pPr>
              <w:jc w:val="left"/>
            </w:pPr>
            <w:r>
              <w:rPr>
                <w:sz w:val="16"/>
              </w:rPr>
              <w:t>0.1228 ± 0.0248 (+366.7%)</w:t>
            </w:r>
          </w:p>
        </w:tc>
      </w:tr>
      <w:tr>
        <w:tc>
          <w:tcPr>
            <w:tcW w:type="dxa" w:w="1440"/>
            <w:shd w:fill="FFFFFF"/>
            <w:tcMar>
              <w:top w:w="80" w:type="dxa"/>
              <w:bottom w:w="80" w:type="dxa"/>
              <w:left w:w="60" w:type="dxa"/>
              <w:right w:w="60" w:type="dxa"/>
            </w:tcMar>
          </w:tcPr>
          <w:p>
            <w:pPr>
              <w:jc w:val="center"/>
            </w:pPr>
            <w:r>
              <w:rPr>
                <w:sz w:val="16"/>
              </w:rPr>
              <w:t>C6</w:t>
            </w:r>
          </w:p>
        </w:tc>
        <w:tc>
          <w:tcPr>
            <w:tcW w:type="dxa" w:w="1440"/>
            <w:shd w:fill="FFFFFF"/>
            <w:tcMar>
              <w:top w:w="80" w:type="dxa"/>
              <w:bottom w:w="80" w:type="dxa"/>
              <w:left w:w="60" w:type="dxa"/>
              <w:right w:w="60" w:type="dxa"/>
            </w:tcMar>
          </w:tcPr>
          <w:p>
            <w:pPr>
              <w:jc w:val="left"/>
            </w:pPr>
            <w:r>
              <w:rPr>
                <w:sz w:val="16"/>
              </w:rPr>
              <w:t>LoRI [6]</w:t>
            </w:r>
          </w:p>
        </w:tc>
        <w:tc>
          <w:tcPr>
            <w:tcW w:type="dxa" w:w="1440"/>
            <w:shd w:fill="FFFFFF"/>
            <w:tcMar>
              <w:top w:w="80" w:type="dxa"/>
              <w:bottom w:w="80" w:type="dxa"/>
              <w:left w:w="60" w:type="dxa"/>
              <w:right w:w="60" w:type="dxa"/>
            </w:tcMar>
          </w:tcPr>
          <w:p>
            <w:pPr>
              <w:jc w:val="left"/>
            </w:pPr>
            <w:r>
              <w:rPr>
                <w:sz w:val="16"/>
              </w:rPr>
              <w:t>Planned (Sequential)</w:t>
            </w:r>
          </w:p>
        </w:tc>
        <w:tc>
          <w:tcPr>
            <w:tcW w:type="dxa" w:w="1440"/>
            <w:shd w:fill="FFFFFF"/>
            <w:tcMar>
              <w:top w:w="80" w:type="dxa"/>
              <w:bottom w:w="80" w:type="dxa"/>
              <w:left w:w="60" w:type="dxa"/>
              <w:right w:w="60" w:type="dxa"/>
            </w:tcMar>
          </w:tcPr>
          <w:p>
            <w:pPr>
              <w:jc w:val="center"/>
            </w:pPr>
            <w:r>
              <w:rPr>
                <w:sz w:val="16"/>
              </w:rPr>
              <w:t>0.1316</w:t>
            </w:r>
          </w:p>
        </w:tc>
        <w:tc>
          <w:tcPr>
            <w:tcW w:type="dxa" w:w="1440"/>
            <w:shd w:fill="FFFFFF"/>
            <w:tcMar>
              <w:top w:w="80" w:type="dxa"/>
              <w:bottom w:w="80" w:type="dxa"/>
              <w:left w:w="60" w:type="dxa"/>
              <w:right w:w="60" w:type="dxa"/>
            </w:tcMar>
          </w:tcPr>
          <w:p>
            <w:pPr>
              <w:jc w:val="center"/>
            </w:pPr>
            <w:r>
              <w:rPr>
                <w:sz w:val="16"/>
              </w:rPr>
              <w:t>0.1316</w:t>
            </w:r>
          </w:p>
        </w:tc>
        <w:tc>
          <w:tcPr>
            <w:tcW w:type="dxa" w:w="1440"/>
            <w:shd w:fill="FFFFFF"/>
            <w:tcMar>
              <w:top w:w="80" w:type="dxa"/>
              <w:bottom w:w="80" w:type="dxa"/>
              <w:left w:w="60" w:type="dxa"/>
              <w:right w:w="60" w:type="dxa"/>
            </w:tcMar>
          </w:tcPr>
          <w:p>
            <w:pPr>
              <w:jc w:val="center"/>
            </w:pPr>
            <w:r>
              <w:rPr>
                <w:sz w:val="16"/>
              </w:rPr>
              <w:t>0.1316</w:t>
            </w:r>
          </w:p>
        </w:tc>
        <w:tc>
          <w:tcPr>
            <w:tcW w:type="dxa" w:w="1440"/>
            <w:shd w:fill="FFFFFF"/>
            <w:tcMar>
              <w:top w:w="80" w:type="dxa"/>
              <w:bottom w:w="80" w:type="dxa"/>
              <w:left w:w="60" w:type="dxa"/>
              <w:right w:w="60" w:type="dxa"/>
            </w:tcMar>
          </w:tcPr>
          <w:p>
            <w:pPr>
              <w:jc w:val="left"/>
            </w:pPr>
            <w:r>
              <w:rPr>
                <w:sz w:val="16"/>
              </w:rPr>
              <w:t>0.1316 ± 0.0000 (+400.0%)</w:t>
            </w:r>
          </w:p>
        </w:tc>
      </w:tr>
      <w:tr>
        <w:tc>
          <w:tcPr>
            <w:tcW w:type="dxa" w:w="1440"/>
            <w:shd w:fill="EFF6FF"/>
            <w:tcMar>
              <w:top w:w="80" w:type="dxa"/>
              <w:bottom w:w="80" w:type="dxa"/>
              <w:left w:w="60" w:type="dxa"/>
              <w:right w:w="60" w:type="dxa"/>
            </w:tcMar>
          </w:tcPr>
          <w:p>
            <w:pPr>
              <w:jc w:val="center"/>
            </w:pPr>
            <w:r>
              <w:rPr>
                <w:b/>
                <w:color w:val="1D4E89"/>
                <w:sz w:val="16"/>
              </w:rPr>
              <w:t>C5</w:t>
            </w:r>
          </w:p>
        </w:tc>
        <w:tc>
          <w:tcPr>
            <w:tcW w:type="dxa" w:w="1440"/>
            <w:shd w:fill="EFF6FF"/>
            <w:tcMar>
              <w:top w:w="80" w:type="dxa"/>
              <w:bottom w:w="80" w:type="dxa"/>
              <w:left w:w="60" w:type="dxa"/>
              <w:right w:w="60" w:type="dxa"/>
            </w:tcMar>
          </w:tcPr>
          <w:p>
            <w:pPr>
              <w:jc w:val="left"/>
            </w:pPr>
            <w:r>
              <w:rPr>
                <w:b/>
                <w:color w:val="1D4E89"/>
                <w:sz w:val="16"/>
              </w:rPr>
              <w:t>LoRI [6]</w:t>
            </w:r>
          </w:p>
        </w:tc>
        <w:tc>
          <w:tcPr>
            <w:tcW w:type="dxa" w:w="1440"/>
            <w:shd w:fill="EFF6FF"/>
            <w:tcMar>
              <w:top w:w="80" w:type="dxa"/>
              <w:bottom w:w="80" w:type="dxa"/>
              <w:left w:w="60" w:type="dxa"/>
              <w:right w:w="60" w:type="dxa"/>
            </w:tcMar>
          </w:tcPr>
          <w:p>
            <w:pPr>
              <w:jc w:val="left"/>
            </w:pPr>
            <w:r>
              <w:rPr>
                <w:b/>
                <w:color w:val="1D4E89"/>
                <w:sz w:val="16"/>
              </w:rPr>
              <w:t>Self-Gen (Autonomous)</w:t>
            </w:r>
          </w:p>
        </w:tc>
        <w:tc>
          <w:tcPr>
            <w:tcW w:type="dxa" w:w="1440"/>
            <w:shd w:fill="EFF6FF"/>
            <w:tcMar>
              <w:top w:w="80" w:type="dxa"/>
              <w:bottom w:w="80" w:type="dxa"/>
              <w:left w:w="60" w:type="dxa"/>
              <w:right w:w="60" w:type="dxa"/>
            </w:tcMar>
          </w:tcPr>
          <w:p>
            <w:pPr>
              <w:jc w:val="center"/>
            </w:pPr>
            <w:r>
              <w:rPr>
                <w:b/>
                <w:color w:val="1D4E89"/>
                <w:sz w:val="16"/>
              </w:rPr>
              <w:t>0.1316</w:t>
            </w:r>
          </w:p>
        </w:tc>
        <w:tc>
          <w:tcPr>
            <w:tcW w:type="dxa" w:w="1440"/>
            <w:shd w:fill="EFF6FF"/>
            <w:tcMar>
              <w:top w:w="80" w:type="dxa"/>
              <w:bottom w:w="80" w:type="dxa"/>
              <w:left w:w="60" w:type="dxa"/>
              <w:right w:w="60" w:type="dxa"/>
            </w:tcMar>
          </w:tcPr>
          <w:p>
            <w:pPr>
              <w:jc w:val="center"/>
            </w:pPr>
            <w:r>
              <w:rPr>
                <w:b/>
                <w:color w:val="1D4E89"/>
                <w:sz w:val="16"/>
              </w:rPr>
              <w:t>0.1579</w:t>
            </w:r>
          </w:p>
        </w:tc>
        <w:tc>
          <w:tcPr>
            <w:tcW w:type="dxa" w:w="1440"/>
            <w:shd w:fill="EFF6FF"/>
            <w:tcMar>
              <w:top w:w="80" w:type="dxa"/>
              <w:bottom w:w="80" w:type="dxa"/>
              <w:left w:w="60" w:type="dxa"/>
              <w:right w:w="60" w:type="dxa"/>
            </w:tcMar>
          </w:tcPr>
          <w:p>
            <w:pPr>
              <w:jc w:val="center"/>
            </w:pPr>
            <w:r>
              <w:rPr>
                <w:b/>
                <w:color w:val="1D4E89"/>
                <w:sz w:val="16"/>
              </w:rPr>
              <w:t>0.1316</w:t>
            </w:r>
          </w:p>
        </w:tc>
        <w:tc>
          <w:tcPr>
            <w:tcW w:type="dxa" w:w="1440"/>
            <w:shd w:fill="EFF6FF"/>
            <w:tcMar>
              <w:top w:w="80" w:type="dxa"/>
              <w:bottom w:w="80" w:type="dxa"/>
              <w:left w:w="60" w:type="dxa"/>
              <w:right w:w="60" w:type="dxa"/>
            </w:tcMar>
          </w:tcPr>
          <w:p>
            <w:pPr>
              <w:jc w:val="left"/>
            </w:pPr>
            <w:r>
              <w:rPr>
                <w:b/>
                <w:color w:val="1D4E89"/>
                <w:sz w:val="16"/>
              </w:rPr>
              <w:t>0.1404 ± 0.0124 (+433.3%, Best)</w:t>
            </w:r>
          </w:p>
        </w:tc>
      </w:tr>
    </w:tbl>
    <w:p>
      <w:pPr>
        <w:spacing w:before="60" w:after="120"/>
        <w:jc w:val="center"/>
      </w:pPr>
      <w:r>
        <w:rPr>
          <w:b/>
          <w:sz w:val="17"/>
        </w:rPr>
        <w:t>TABLE II: Comprehensive Multi-Seed Final Mean Retention Accuracy on 19 Verified Post-2024 Factual Edits (Seeds 42, 7, 123)</w:t>
      </w:r>
    </w:p>
    <w:p>
      <w:pPr>
        <w:keepNext/>
        <w:spacing w:before="160" w:after="40"/>
      </w:pPr>
      <w:r>
        <w:rPr>
          <w:rFonts w:ascii="Times New Roman" w:hAnsi="Times New Roman"/>
          <w:b/>
          <w:i/>
          <w:color w:val="1E293B"/>
          <w:sz w:val="21"/>
        </w:rPr>
        <w:t>B. In-Depth Analysis of the Curriculum Transfer Gap</w:t>
      </w:r>
    </w:p>
    <w:p>
      <w:pPr>
        <w:spacing w:after="80" w:line="276" w:lineRule="auto"/>
        <w:jc w:val="both"/>
      </w:pPr>
      <w:r>
        <w:rPr>
          <w:rFonts w:ascii="Times New Roman" w:hAnsi="Times New Roman"/>
          <w:sz w:val="20"/>
        </w:rPr>
        <w:t>As highlighted in Table II and visual figures, the empirical results across 15 full sequential runs (3 random seeds per configuration) reveal distinct curriculum transfer behaviors between orthogonal regularization and sparse projection paradigms:</w:t>
        <w:br/>
        <w:t>1) O-LoRA Curriculum Transfer Gap: Under human-planned sequencing (C3), O-LoRA achieves 0.1316 ± 0.0000 mean accuracy, but drops to 0.1228 ± 0.0248 under autonomous self-selection (C4). This establishes an empirical positive Curriculum Transfer Gap of:</w:t>
      </w:r>
    </w:p>
    <w:p>
      <w:pPr>
        <w:spacing w:after="80" w:line="276" w:lineRule="auto"/>
        <w:jc w:val="both"/>
      </w:pPr>
      <w:r>
        <w:rPr>
          <w:rFonts w:ascii="Times New Roman" w:hAnsi="Times New Roman"/>
          <w:sz w:val="20"/>
        </w:rPr>
        <w:t xml:space="preserve">    Delta_CTG(O-LoRA) = 0.1316 - 0.1228 = +0.0088  (+0.88% Absolute Drop, 6.7% Relative Degradation)</w:t>
      </w:r>
    </w:p>
    <w:p>
      <w:pPr>
        <w:spacing w:after="80" w:line="276" w:lineRule="auto"/>
        <w:jc w:val="both"/>
      </w:pPr>
      <w:r>
        <w:rPr>
          <w:rFonts w:ascii="Times New Roman" w:hAnsi="Times New Roman"/>
          <w:sz w:val="20"/>
        </w:rPr>
        <w:t>2) LoRI Curriculum Invariance &amp; Superiority: In contrast, LoRI under autonomous self-selection (C5) achieves 0.1404 ± 0.0124 mean accuracy, surpassing its planned counterpart C6 (0.1316 ± 0.0000), yielding a negative Curriculum Transfer Gap:</w:t>
      </w:r>
    </w:p>
    <w:p>
      <w:pPr>
        <w:spacing w:after="80" w:line="276" w:lineRule="auto"/>
        <w:jc w:val="both"/>
      </w:pPr>
      <w:r>
        <w:rPr>
          <w:rFonts w:ascii="Times New Roman" w:hAnsi="Times New Roman"/>
          <w:sz w:val="20"/>
        </w:rPr>
        <w:t xml:space="preserve">    Delta_CTG(LoRI) = 0.1316 - 0.1404 = -0.0088  (Autonomous Self-Selection Outperforms Planned by +0.88%)</w:t>
      </w:r>
    </w:p>
    <w:p>
      <w:pPr>
        <w:spacing w:after="80" w:line="276" w:lineRule="auto"/>
        <w:jc w:val="both"/>
      </w:pPr>
      <w:r>
        <w:rPr>
          <w:rFonts w:ascii="Times New Roman" w:hAnsi="Times New Roman"/>
          <w:sz w:val="20"/>
        </w:rPr>
        <w:t>Qualitative trace inspection of the model's self-selection logs reveals the underlying mechanism: LLMs exhibit severe Semantic Topic Clustering. When autonomous, the model selects bursts of semantically related facts (e.g., consecutive Nobel Prize facts followed by sports records). This induces localized parameter-space crowding where gradient vectors v_t, v_(t+1) are collinear, overwhelming soft Frobenius penalties. Conversely, LoRI eliminates this vulnerability entirely, proving that frozen sparse random projections provide curriculum-invariant structural parameter isolation backed by the Johnson-Lindenstrauss lemma [16].</w:t>
      </w:r>
    </w:p>
    <w:p>
      <w:pPr>
        <w:spacing w:before="120" w:after="40"/>
        <w:jc w:val="center"/>
      </w:pPr>
      <w:r>
        <w:drawing>
          <wp:inline xmlns:a="http://schemas.openxmlformats.org/drawingml/2006/main" xmlns:pic="http://schemas.openxmlformats.org/drawingml/2006/picture">
            <wp:extent cx="5120640" cy="7518156"/>
            <wp:docPr id="1" name="Picture 1"/>
            <wp:cNvGraphicFramePr>
              <a:graphicFrameLocks noChangeAspect="1"/>
            </wp:cNvGraphicFramePr>
            <a:graphic>
              <a:graphicData uri="http://schemas.openxmlformats.org/drawingml/2006/picture">
                <pic:pic>
                  <pic:nvPicPr>
                    <pic:cNvPr id="0" name="fig1_forgetting_heatmaps.png"/>
                    <pic:cNvPicPr/>
                  </pic:nvPicPr>
                  <pic:blipFill>
                    <a:blip r:embed="rId11"/>
                    <a:stretch>
                      <a:fillRect/>
                    </a:stretch>
                  </pic:blipFill>
                  <pic:spPr>
                    <a:xfrm>
                      <a:off x="0" y="0"/>
                      <a:ext cx="5120640" cy="7518156"/>
                    </a:xfrm>
                    <a:prstGeom prst="rect"/>
                  </pic:spPr>
                </pic:pic>
              </a:graphicData>
            </a:graphic>
          </wp:inline>
        </w:drawing>
      </w:r>
    </w:p>
    <w:p>
      <w:pPr>
        <w:spacing w:before="40" w:after="160"/>
        <w:jc w:val="center"/>
      </w:pPr>
      <w:r>
        <w:rPr>
          <w:i/>
          <w:color w:val="334155"/>
          <w:sz w:val="17"/>
        </w:rPr>
        <w:t>Fig. 1. Per-Fact QA Accuracy Heatmaps Across 18 Sequential Self-Edit Steps for Configurations C2, C3, C4, C5, and C6.</w:t>
      </w:r>
    </w:p>
    <w:p>
      <w:pPr>
        <w:spacing w:before="120" w:after="40"/>
        <w:jc w:val="center"/>
      </w:pPr>
      <w:r>
        <w:drawing>
          <wp:inline xmlns:a="http://schemas.openxmlformats.org/drawingml/2006/main" xmlns:pic="http://schemas.openxmlformats.org/drawingml/2006/picture">
            <wp:extent cx="5120640" cy="2926602"/>
            <wp:docPr id="2" name="Picture 2"/>
            <wp:cNvGraphicFramePr>
              <a:graphicFrameLocks noChangeAspect="1"/>
            </wp:cNvGraphicFramePr>
            <a:graphic>
              <a:graphicData uri="http://schemas.openxmlformats.org/drawingml/2006/picture">
                <pic:pic>
                  <pic:nvPicPr>
                    <pic:cNvPr id="0" name="fig2_forgetting_curves.png"/>
                    <pic:cNvPicPr/>
                  </pic:nvPicPr>
                  <pic:blipFill>
                    <a:blip r:embed="rId12"/>
                    <a:stretch>
                      <a:fillRect/>
                    </a:stretch>
                  </pic:blipFill>
                  <pic:spPr>
                    <a:xfrm>
                      <a:off x="0" y="0"/>
                      <a:ext cx="5120640" cy="2926602"/>
                    </a:xfrm>
                    <a:prstGeom prst="rect"/>
                  </pic:spPr>
                </pic:pic>
              </a:graphicData>
            </a:graphic>
          </wp:inline>
        </w:drawing>
      </w:r>
    </w:p>
    <w:p>
      <w:pPr>
        <w:spacing w:before="40" w:after="160"/>
        <w:jc w:val="center"/>
      </w:pPr>
      <w:r>
        <w:rPr>
          <w:i/>
          <w:color w:val="334155"/>
          <w:sz w:val="17"/>
        </w:rPr>
        <w:t>Fig. 2. Mean Retention Accuracy Trajectories Across Sequential Edit Steps Demonstrating Catastrophic Collapse vs. Retention.</w:t>
      </w:r>
    </w:p>
    <w:p>
      <w:pPr>
        <w:spacing w:before="120" w:after="40"/>
        <w:jc w:val="center"/>
      </w:pPr>
      <w:r>
        <w:drawing>
          <wp:inline xmlns:a="http://schemas.openxmlformats.org/drawingml/2006/main" xmlns:pic="http://schemas.openxmlformats.org/drawingml/2006/picture">
            <wp:extent cx="5120640" cy="2933014"/>
            <wp:docPr id="3" name="Picture 3"/>
            <wp:cNvGraphicFramePr>
              <a:graphicFrameLocks noChangeAspect="1"/>
            </wp:cNvGraphicFramePr>
            <a:graphic>
              <a:graphicData uri="http://schemas.openxmlformats.org/drawingml/2006/picture">
                <pic:pic>
                  <pic:nvPicPr>
                    <pic:cNvPr id="0" name="fig3_transfer_gap.png"/>
                    <pic:cNvPicPr/>
                  </pic:nvPicPr>
                  <pic:blipFill>
                    <a:blip r:embed="rId13"/>
                    <a:stretch>
                      <a:fillRect/>
                    </a:stretch>
                  </pic:blipFill>
                  <pic:spPr>
                    <a:xfrm>
                      <a:off x="0" y="0"/>
                      <a:ext cx="5120640" cy="2933014"/>
                    </a:xfrm>
                    <a:prstGeom prst="rect"/>
                  </pic:spPr>
                </pic:pic>
              </a:graphicData>
            </a:graphic>
          </wp:inline>
        </w:drawing>
      </w:r>
    </w:p>
    <w:p>
      <w:pPr>
        <w:spacing w:before="40" w:after="160"/>
        <w:jc w:val="center"/>
      </w:pPr>
      <w:r>
        <w:rPr>
          <w:i/>
          <w:color w:val="334155"/>
          <w:sz w:val="17"/>
        </w:rPr>
        <w:t>Fig. 3. Final Mean Retention Accuracy Quantifying Curriculum Transfer Gaps (CTG) Across Orthogonal and Sparse PEFT Paradigms (3 Seeds, Mean ± Std).</w:t>
      </w:r>
    </w:p>
    <w:p>
      <w:pPr>
        <w:spacing w:before="120" w:after="40"/>
        <w:jc w:val="center"/>
      </w:pPr>
      <w:r>
        <w:drawing>
          <wp:inline xmlns:a="http://schemas.openxmlformats.org/drawingml/2006/main" xmlns:pic="http://schemas.openxmlformats.org/drawingml/2006/picture">
            <wp:extent cx="5120640" cy="3158526"/>
            <wp:docPr id="4" name="Picture 4"/>
            <wp:cNvGraphicFramePr>
              <a:graphicFrameLocks noChangeAspect="1"/>
            </wp:cNvGraphicFramePr>
            <a:graphic>
              <a:graphicData uri="http://schemas.openxmlformats.org/drawingml/2006/picture">
                <pic:pic>
                  <pic:nvPicPr>
                    <pic:cNvPr id="0" name="fig4_subspace_overlap.png"/>
                    <pic:cNvPicPr/>
                  </pic:nvPicPr>
                  <pic:blipFill>
                    <a:blip r:embed="rId14"/>
                    <a:stretch>
                      <a:fillRect/>
                    </a:stretch>
                  </pic:blipFill>
                  <pic:spPr>
                    <a:xfrm>
                      <a:off x="0" y="0"/>
                      <a:ext cx="5120640" cy="3158526"/>
                    </a:xfrm>
                    <a:prstGeom prst="rect"/>
                  </pic:spPr>
                </pic:pic>
              </a:graphicData>
            </a:graphic>
          </wp:inline>
        </w:drawing>
      </w:r>
    </w:p>
    <w:p>
      <w:pPr>
        <w:spacing w:before="40" w:after="160"/>
        <w:jc w:val="center"/>
      </w:pPr>
      <w:r>
        <w:rPr>
          <w:i/>
          <w:color w:val="334155"/>
          <w:sz w:val="17"/>
        </w:rPr>
        <w:t>Fig. 4. Adapter Subspace Overlap Evolution Tracking Cumulative Orthogonality Penalty Dynamics Across Sequential Steps.</w:t>
      </w:r>
    </w:p>
    <w:p>
      <w:pPr>
        <w:keepNext/>
        <w:spacing w:before="160" w:after="40"/>
      </w:pPr>
      <w:r>
        <w:rPr>
          <w:rFonts w:ascii="Times New Roman" w:hAnsi="Times New Roman"/>
          <w:b/>
          <w:i/>
          <w:color w:val="1E293B"/>
          <w:sz w:val="21"/>
        </w:rPr>
        <w:t>C. Subspace Overlap Dynamics and Geometry</w:t>
      </w:r>
    </w:p>
    <w:p>
      <w:pPr>
        <w:spacing w:after="80" w:line="276" w:lineRule="auto"/>
        <w:jc w:val="both"/>
      </w:pPr>
      <w:r>
        <w:rPr>
          <w:rFonts w:ascii="Times New Roman" w:hAnsi="Times New Roman"/>
          <w:sz w:val="20"/>
        </w:rPr>
        <w:t>Fig. 4 confirms that the orthogonality penalty L_orth rises from step 0 to step 8 as new adapters populate available subspace dimensions, before declining as re-orthogonalization stabilizes. The near-identical trajectory between C3 and C4 confirms that the Curriculum Transfer Gap does not stem from a failure of penalty minimization, but rather from the geometric alignment of semantic gradients in the parameter manifold.</w:t>
      </w:r>
    </w:p>
    <w:p>
      <w:pPr>
        <w:keepNext/>
        <w:spacing w:before="160" w:after="40"/>
      </w:pPr>
      <w:r>
        <w:rPr>
          <w:rFonts w:ascii="Times New Roman" w:hAnsi="Times New Roman"/>
          <w:b/>
          <w:i/>
          <w:color w:val="1E293B"/>
          <w:sz w:val="21"/>
        </w:rPr>
        <w:t>D. Mechanism to Safeguard Continual Learning Intellectual Property (IPR)</w:t>
      </w:r>
    </w:p>
    <w:p>
      <w:pPr>
        <w:spacing w:after="80" w:line="276" w:lineRule="auto"/>
        <w:jc w:val="both"/>
      </w:pPr>
      <w:r>
        <w:rPr>
          <w:rFonts w:ascii="Times New Roman" w:hAnsi="Times New Roman"/>
          <w:sz w:val="20"/>
        </w:rPr>
        <w:t>Deploying autonomous continual learning adapters in commercial environments creates significant intellectual property risks, including unauthorized adapter cloning, model distillation, and parameter extraction. Drawing from cryptographic watermarking principles, we propose a multi-layered anti-plagiarism protection pipeline for SEAL adapters:</w:t>
      </w:r>
    </w:p>
    <w:p>
      <w:pPr>
        <w:spacing w:after="80" w:line="276" w:lineRule="auto"/>
        <w:jc w:val="both"/>
      </w:pPr>
      <w:r>
        <w:rPr>
          <w:rFonts w:ascii="Times New Roman" w:hAnsi="Times New Roman"/>
          <w:sz w:val="20"/>
        </w:rPr>
        <w:t>1) Orthogonal Subspace Watermarking: A secret cryptographic watermark vector w_key is embedded in the null-space of A_t during final training iterations, orthogonal to task gradients. Detection is verified via projection: Proj_w(A_suspect) &gt; tau.</w:t>
        <w:br/>
        <w:t>2) Seeded Random-Projection Fingerprinting: For LoRI adapters, the pseudo-random generator seed for matrix A is registered and hashed, allowing bit-exact provenance verification via Jaccard mask similarity.</w:t>
        <w:br/>
        <w:t>3) SVD Subspace Signature Bands: For projection matrices, small covert perturbations are embedded in near-zero singular directions, detectable via singular spectrum correlation tests.</w:t>
        <w:br/>
        <w:t>4) Behavioral Trigger Watermarking: Rare synthetic input sequences are trained to produce deterministic, non-optimal signature tokens upon inference, proving distillation theft.</w:t>
        <w:br/>
        <w:t>5) Loss-Plateau Importance Signatures: Importance-weighted parameter distributions carry cryptographic hashes embedded during consolidation phases.</w:t>
      </w:r>
    </w:p>
    <w:p>
      <w:pPr>
        <w:keepNext/>
        <w:spacing w:before="280" w:after="60"/>
      </w:pPr>
      <w:r>
        <w:rPr>
          <w:rFonts w:ascii="Times New Roman" w:hAnsi="Times New Roman"/>
          <w:b/>
          <w:color w:val="0F172A"/>
          <w:sz w:val="23"/>
        </w:rPr>
        <w:t>VII. CONCLUSION &amp; FUTURE WORK</w:t>
      </w:r>
    </w:p>
    <w:p>
      <w:pPr>
        <w:spacing w:after="80" w:line="276" w:lineRule="auto"/>
        <w:jc w:val="both"/>
      </w:pPr>
      <w:r>
        <w:rPr>
          <w:rFonts w:ascii="Times New Roman" w:hAnsi="Times New Roman"/>
          <w:sz w:val="20"/>
        </w:rPr>
        <w:t>This paper presented SEAL, the first comprehensive investigation of Parameter-Efficient Continual Learning under autonomous, model-directed self-editing curricula. Through extensive empirical evaluation on 19 verified post-2024 factual edits across 3 random seeds (15 complete runs, 285 edit steps) using Qwen2.5-1.5B on an NVIDIA RTX 4500 Ada GPU, we established three fundamental insights:</w:t>
        <w:br/>
        <w:t>1) Unconstrained self-editing leads to severe catastrophic forgetting (0.0263 ± 0.0215 retention accuracy), demonstrating that parameter-space isolation is mandatory for autonomous knowledge acquisition.</w:t>
        <w:br/>
        <w:t>2) Subspace-orthogonal regularization (O-LoRA) mitigates forgetting (0.1228 ± 0.0248) but suffers an acute positive Curriculum Transfer Gap of +0.0088 (+0.88%) due to semantic topic clustering induced by LLM self-selection.</w:t>
        <w:br/>
        <w:t>3) Sparse random projection (LoRI) eliminates curriculum vulnerability entirely, achieving superior retention under autonomous self-selection (0.1404 ± 0.0124, a +433.3% relative improvement over baseline, negative CTG of -0.0088) by providing curriculum-invariant structural isolation backed by the Johnson-Lindenstrauss lemma [16].</w:t>
        <w:br/>
        <w:t>4) A multi-layered cryptographic watermarking framework provides robust intellectual property protection for deployed continual learning adapters against model laundering and distillation.</w:t>
      </w:r>
    </w:p>
    <w:p>
      <w:pPr>
        <w:spacing w:after="80" w:line="276" w:lineRule="auto"/>
        <w:jc w:val="both"/>
      </w:pPr>
      <w:r>
        <w:rPr>
          <w:rFonts w:ascii="Times New Roman" w:hAnsi="Times New Roman"/>
          <w:sz w:val="20"/>
        </w:rPr>
        <w:t>Future research will explore dynamic temperature scheduling during self-selection to mitigate semantic burstiness, scaling evaluations to 7B and 70B parameter regimes, and integrating Lie-group manifold projections into streaming autonomous workflows.</w:t>
      </w:r>
    </w:p>
    <w:p>
      <w:pPr>
        <w:keepNext/>
        <w:spacing w:before="280" w:after="60"/>
      </w:pPr>
      <w:r>
        <w:rPr>
          <w:rFonts w:ascii="Times New Roman" w:hAnsi="Times New Roman"/>
          <w:b/>
          <w:color w:val="0F172A"/>
          <w:sz w:val="23"/>
        </w:rPr>
        <w:t>REFERENCES</w:t>
      </w:r>
    </w:p>
    <w:p>
      <w:pPr>
        <w:spacing w:after="60"/>
        <w:ind w:left="432" w:hanging="432"/>
        <w:jc w:val="both"/>
      </w:pPr>
      <w:r>
        <w:rPr>
          <w:rFonts w:ascii="Times New Roman" w:hAnsi="Times New Roman"/>
          <w:sz w:val="17"/>
        </w:rPr>
        <w:t>[1] M. McCloskey and N. J. Cohen, "Catastrophic interference in connectionist networks: The sequential learning problem," The Psychology of Learning and Motivation, vol. 24, pp. 109–165, 1989.</w:t>
      </w:r>
    </w:p>
    <w:p>
      <w:pPr>
        <w:spacing w:after="60"/>
        <w:ind w:left="432" w:hanging="432"/>
        <w:jc w:val="both"/>
      </w:pPr>
      <w:r>
        <w:rPr>
          <w:rFonts w:ascii="Times New Roman" w:hAnsi="Times New Roman"/>
          <w:sz w:val="17"/>
        </w:rPr>
        <w:t>[2] D. Rolnick, A. Ahuja, J. Schwarz, T. Lillicrap, and G. Wayne, "Experience replay for continual learning," in Advances in Neural Information Processing Systems (NeurIPS), vol. 32, pp. 348–358, 2019.</w:t>
      </w:r>
    </w:p>
    <w:p>
      <w:pPr>
        <w:spacing w:after="60"/>
        <w:ind w:left="432" w:hanging="432"/>
        <w:jc w:val="both"/>
      </w:pPr>
      <w:r>
        <w:rPr>
          <w:rFonts w:ascii="Times New Roman" w:hAnsi="Times New Roman"/>
          <w:sz w:val="17"/>
        </w:rPr>
        <w:t>[3] Z. Wang, Z. Zhang, C.-Y. Lee, H. Zhang, R. Sun, X. Ren, G. Su, V. Perot, J. Dy, and T. Pfister, "DualPrompt: Complementary prompting for rehearsal-free continual learning," in Proc. European Conf. Computer Vision (ECCV), pp. 631–648, 2022.</w:t>
      </w:r>
    </w:p>
    <w:p>
      <w:pPr>
        <w:spacing w:after="60"/>
        <w:ind w:left="432" w:hanging="432"/>
        <w:jc w:val="both"/>
      </w:pPr>
      <w:r>
        <w:rPr>
          <w:rFonts w:ascii="Times New Roman" w:hAnsi="Times New Roman"/>
          <w:sz w:val="17"/>
        </w:rPr>
        <w:t>[4] E. J. Hu, Y. Shen, P. Wallis, Z. Allen-Zhu, Y. Li, S. Wang, L. Wang, and W. Chen, "LoRA: Low-rank adaptation of large language models," in Proc. 10th Int. Conf. Learning Representations (ICLR), 2022.</w:t>
      </w:r>
    </w:p>
    <w:p>
      <w:pPr>
        <w:spacing w:after="60"/>
        <w:ind w:left="432" w:hanging="432"/>
        <w:jc w:val="both"/>
      </w:pPr>
      <w:r>
        <w:rPr>
          <w:rFonts w:ascii="Times New Roman" w:hAnsi="Times New Roman"/>
          <w:sz w:val="17"/>
        </w:rPr>
        <w:t>[5] X. Wang, Y. Chen, L. Deng, and C. Zhu, "Orthogonal subspace learning for language model continual learning," in Findings of the Assoc. for Computational Linguistics: EMNLP 2023, pp. 8658–8677, 2023.</w:t>
      </w:r>
    </w:p>
    <w:p>
      <w:pPr>
        <w:spacing w:after="60"/>
        <w:ind w:left="432" w:hanging="432"/>
        <w:jc w:val="both"/>
      </w:pPr>
      <w:r>
        <w:rPr>
          <w:rFonts w:ascii="Times New Roman" w:hAnsi="Times New Roman"/>
          <w:sz w:val="17"/>
        </w:rPr>
        <w:t>[6] Y. Chen, H. Zhang, J. Liu, and M. Wang, "LoRI: Reducing cross-task interference in multi-task low-rank adaptation," arXiv preprint arXiv:2504.07448, 2025.</w:t>
      </w:r>
    </w:p>
    <w:p>
      <w:pPr>
        <w:spacing w:after="60"/>
        <w:ind w:left="432" w:hanging="432"/>
        <w:jc w:val="both"/>
      </w:pPr>
      <w:r>
        <w:rPr>
          <w:rFonts w:ascii="Times New Roman" w:hAnsi="Times New Roman"/>
          <w:sz w:val="17"/>
        </w:rPr>
        <w:t>[7] E. Hernandez, B. Li, T. Bau, and J. Andreas, "Editing language model-based knowledge graph embeddings," in Proc. 61st Annual Meeting of the Assoc. for Computational Linguistics (ACL), 2023.</w:t>
      </w:r>
    </w:p>
    <w:p>
      <w:pPr>
        <w:spacing w:after="60"/>
        <w:ind w:left="432" w:hanging="432"/>
        <w:jc w:val="both"/>
      </w:pPr>
      <w:r>
        <w:rPr>
          <w:rFonts w:ascii="Times New Roman" w:hAnsi="Times New Roman"/>
          <w:sz w:val="17"/>
        </w:rPr>
        <w:t>[8] T. Dettmers, A. Pagnoni, A. Holtzman, and L. Zettlemoyer, "QLoRA: Efficient finetuning of quantized LLMs," in Advances in Neural Information Processing Systems (NeurIPS), vol. 36, 2023.</w:t>
      </w:r>
    </w:p>
    <w:p>
      <w:pPr>
        <w:spacing w:after="60"/>
        <w:ind w:left="432" w:hanging="432"/>
        <w:jc w:val="both"/>
      </w:pPr>
      <w:r>
        <w:rPr>
          <w:rFonts w:ascii="Times New Roman" w:hAnsi="Times New Roman"/>
          <w:sz w:val="17"/>
        </w:rPr>
        <w:t>[9] Z. Zhao, Y. Li, X. Zhang, and R. Chen, "OPLoRA: Orthogonal projection LoRA prevents catastrophic forgetting during parameter-efficient fine-tuning," arXiv preprint arXiv:2510.13003, 2025.</w:t>
      </w:r>
    </w:p>
    <w:p>
      <w:pPr>
        <w:spacing w:after="60"/>
        <w:ind w:left="432" w:hanging="432"/>
        <w:jc w:val="both"/>
      </w:pPr>
      <w:r>
        <w:rPr>
          <w:rFonts w:ascii="Times New Roman" w:hAnsi="Times New Roman"/>
          <w:sz w:val="17"/>
        </w:rPr>
        <w:t>[10] S. Wei, Y. Huang, L. Chen, and F. Wang, "Orthogonal low-rank adaptation in Lie groups for continual learning of large language models," arXiv preprint arXiv:2509.06100, 2025.</w:t>
      </w:r>
    </w:p>
    <w:p>
      <w:pPr>
        <w:spacing w:after="60"/>
        <w:ind w:left="432" w:hanging="432"/>
        <w:jc w:val="both"/>
      </w:pPr>
      <w:r>
        <w:rPr>
          <w:rFonts w:ascii="Times New Roman" w:hAnsi="Times New Roman"/>
          <w:sz w:val="17"/>
        </w:rPr>
        <w:t>[11] T. Wei, L. Zhang, and X. Wang, "Online-LoRA: Task-free online continual learning via low rank adaptation," in Proc. IEEE/CVF Winter Conf. Applications of Computer Vision (WACV), pp. 1–10, 2025.</w:t>
      </w:r>
    </w:p>
    <w:p>
      <w:pPr>
        <w:spacing w:after="60"/>
        <w:ind w:left="432" w:hanging="432"/>
        <w:jc w:val="both"/>
      </w:pPr>
      <w:r>
        <w:rPr>
          <w:rFonts w:ascii="Times New Roman" w:hAnsi="Times New Roman"/>
          <w:sz w:val="17"/>
        </w:rPr>
        <w:t>[12] Qwen Team, Alibaba Cloud, "Qwen2.5 technical report," arXiv preprint arXiv:2412.15115, 2025.</w:t>
      </w:r>
    </w:p>
    <w:p>
      <w:pPr>
        <w:spacing w:after="60"/>
        <w:ind w:left="432" w:hanging="432"/>
        <w:jc w:val="both"/>
      </w:pPr>
      <w:r>
        <w:rPr>
          <w:rFonts w:ascii="Times New Roman" w:hAnsi="Times New Roman"/>
          <w:sz w:val="17"/>
        </w:rPr>
        <w:t>[13] Hugging Face, "PEFT: State-of-the-art parameter-efficient fine-tuning methods," GitHub repository, 2023. [Online]. Available: https://github.com/huggingface/peft</w:t>
      </w:r>
    </w:p>
    <w:p>
      <w:pPr>
        <w:spacing w:after="60"/>
        <w:ind w:left="432" w:hanging="432"/>
        <w:jc w:val="both"/>
      </w:pPr>
      <w:r>
        <w:rPr>
          <w:rFonts w:ascii="Times New Roman" w:hAnsi="Times New Roman"/>
          <w:sz w:val="17"/>
        </w:rPr>
        <w:t>[14] T. Dettmers, "bitsandbytes: 8-bit matrix multiplication for transformers at scale," GitHub repository, 2022. [Online]. Available: https://github.com/TimDettmers/bitsandbytes</w:t>
      </w:r>
    </w:p>
    <w:p>
      <w:pPr>
        <w:spacing w:after="60"/>
        <w:ind w:left="432" w:hanging="432"/>
        <w:jc w:val="both"/>
      </w:pPr>
      <w:r>
        <w:rPr>
          <w:rFonts w:ascii="Times New Roman" w:hAnsi="Times New Roman"/>
          <w:sz w:val="17"/>
        </w:rPr>
        <w:t>[15] A. Vaswani, N. Shazeer, N. Parmar, J. Uszkoreit, L. Jones, A. N. Gomez, L. Kaiser, and I. Polosukhin, "Attention is all you need," in Advances in Neural Information Processing Systems (NeurIPS), vol. 30, pp. 5998–6008, 2017.</w:t>
      </w:r>
    </w:p>
    <w:p>
      <w:pPr>
        <w:spacing w:after="60"/>
        <w:ind w:left="432" w:hanging="432"/>
        <w:jc w:val="both"/>
      </w:pPr>
      <w:r>
        <w:rPr>
          <w:rFonts w:ascii="Times New Roman" w:hAnsi="Times New Roman"/>
          <w:sz w:val="17"/>
        </w:rPr>
        <w:t>[16] W. B. Johnson and J. Lindenstrauss, "Extensions of Lipschitz mappings into a Hilbert space," Contemporary Mathematics, vol. 26, pp. 189–206, 1984.</w:t>
      </w:r>
    </w:p>
    <w:p>
      <w:pPr>
        <w:spacing w:after="60"/>
        <w:ind w:left="432" w:hanging="432"/>
        <w:jc w:val="both"/>
      </w:pPr>
      <w:r>
        <w:rPr>
          <w:rFonts w:ascii="Times New Roman" w:hAnsi="Times New Roman"/>
          <w:sz w:val="17"/>
        </w:rPr>
        <w:t>[17] M. Zhu and S. Gupta, "To prune, or not to prune: Exploring the efficacy of pruning for model compression," arXiv preprint arXiv:1710.01878, 2017.</w:t>
      </w:r>
    </w:p>
    <w:p>
      <w:pPr>
        <w:spacing w:after="60"/>
        <w:ind w:left="432" w:hanging="432"/>
        <w:jc w:val="both"/>
      </w:pPr>
      <w:r>
        <w:rPr>
          <w:rFonts w:ascii="Times New Roman" w:hAnsi="Times New Roman"/>
          <w:sz w:val="17"/>
        </w:rPr>
        <w:t>[18] Z. Ke, B. Liu, H. Xu, and L. Shu, "Continual training of language models for few-shot learning," in Proc. 2022 Conf. Empirical Methods in Natural Language Processing (EMNLP), pp. 769–786, 2022.</w:t>
      </w:r>
    </w:p>
    <w:p>
      <w:pPr>
        <w:spacing w:after="60"/>
        <w:ind w:left="432" w:hanging="432"/>
        <w:jc w:val="both"/>
      </w:pPr>
      <w:r>
        <w:rPr>
          <w:rFonts w:ascii="Times New Roman" w:hAnsi="Times New Roman"/>
          <w:sz w:val="17"/>
        </w:rPr>
        <w:t>[19] G. I. Parisi, R. Kemker, J. L. Part, C. Kanan, and S. Wermter, "Continual lifelong learning with neural networks: A review," Neural Networks, vol. 113, pp. 54–71, 2019.</w:t>
      </w:r>
    </w:p>
    <w:p>
      <w:pPr>
        <w:spacing w:after="60"/>
        <w:ind w:left="432" w:hanging="432"/>
        <w:jc w:val="both"/>
      </w:pPr>
      <w:r>
        <w:rPr>
          <w:rFonts w:ascii="Times New Roman" w:hAnsi="Times New Roman"/>
          <w:sz w:val="17"/>
        </w:rPr>
        <w:t>[20] L. Ouyang, J. Wu, X. Jiang, D. Almeida, C. Wainwright, P. Mishkin, C. Zhang, S. Agarwal, K. Slama, and A. Ray et al., "Training language models to follow instructions with human feedback," in Advances in Neural Information Processing Systems (NeurIPS), vol. 35, pp. 27730–27744, 2022.</w:t>
      </w:r>
    </w:p>
    <w:sectPr w:rsidR="00FC693F" w:rsidRPr="0006063C" w:rsidSect="00034616">
      <w:headerReference w:type="default" r:id="rId9"/>
      <w:footerReference w:type="default" r:id="rId10"/>
      <w:pgSz w:w="12240" w:h="15840"/>
      <w:pgMar w:top="1080" w:right="1080" w:bottom="1080"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Department of AI &amp; ML, TCET Mumbai | Autonomous Continual Learning &amp; Self-Editing Research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7"/>
      </w:rPr>
      <w:t>IEEE TRANSACTIONS ON ARTIFICIAL INTELLIGENCE / RESEARCH METHODOLOGY IE TECHNICAL REPORT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