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0"/>
        </w:rPr>
        <w:t>THAKUR COLLEGE OF ENGINEERING &amp; TECHNOLOGY</w:t>
        <w:br/>
      </w:r>
      <w:r>
        <w:rPr>
          <w:b/>
          <w:color w:val="1E3A8A"/>
          <w:sz w:val="24"/>
        </w:rPr>
        <w:t>Department of Artificial Intelligence &amp; Machine Learning</w:t>
        <w:br/>
      </w:r>
      <w:r>
        <w:rPr>
          <w:i/>
          <w:color w:val="64748B"/>
          <w:sz w:val="19"/>
        </w:rPr>
        <w:t>Choice Based Credit Grading Scheme with Holistic and Multidisciplinary Education</w:t>
        <w:br/>
        <w:t>Under Autonomy – CBCGS-HME 2023, University of Mumbai</w:t>
        <w:br/>
      </w:r>
    </w:p>
    <w:p>
      <w:pPr>
        <w:spacing w:after="480"/>
      </w:pPr>
    </w:p>
    <w:p>
      <w:pPr>
        <w:jc w:val="center"/>
      </w:pPr>
      <w:r>
        <w:rPr>
          <w:b/>
          <w:color w:val="0F172A"/>
          <w:sz w:val="40"/>
        </w:rPr>
        <w:t>PROJECT SYNOPSIS REPORT</w:t>
        <w:br/>
      </w:r>
      <w:r>
        <w:rPr>
          <w:i/>
          <w:color w:val="475569"/>
          <w:sz w:val="22"/>
        </w:rPr>
        <w:t>(Capstone Research Project / Open Elective II: Research Methodology)</w:t>
        <w:br/>
      </w:r>
    </w:p>
    <w:p>
      <w:pPr>
        <w:spacing w:after="360"/>
      </w:pPr>
    </w:p>
    <w:p>
      <w:pPr>
        <w:jc w:val="center"/>
      </w:pPr>
      <w:r>
        <w:rPr>
          <w:b/>
          <w:color w:val="1E3A8A"/>
          <w:sz w:val="34"/>
        </w:rPr>
        <w:t>Evaluating Orthogonal Subspace and Sparse Low-Rank Adaptation Under Model-Directed Autonomous Curricula</w:t>
        <w:br/>
      </w:r>
      <w:r>
        <w:rPr>
          <w:b/>
          <w:color w:val="2563EB"/>
          <w:sz w:val="26"/>
        </w:rPr>
        <w:t>(SEAL: Self-Edit Aware Learning)</w:t>
        <w:br/>
      </w:r>
    </w:p>
    <w:p>
      <w:pPr>
        <w:spacing w:after="720"/>
      </w:pPr>
    </w:p>
    <w:p>
      <w:pPr>
        <w:jc w:val="center"/>
      </w:pP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100" w:type="dxa"/>
              <w:right w:w="100" w:type="dxa"/>
            </w:tcMar>
          </w:tcPr>
          <w:p>
            <w:r>
              <w:rPr>
                <w:b/>
                <w:color w:val="0F172A"/>
                <w:sz w:val="21"/>
              </w:rPr>
              <w:t>Submitted by:</w:t>
            </w:r>
          </w:p>
        </w:tc>
        <w:tc>
          <w:tcPr>
            <w:tcW w:type="dxa" w:w="5472"/>
            <w:tcMar>
              <w:top w:w="60" w:type="dxa"/>
              <w:bottom w:w="60" w:type="dxa"/>
              <w:left w:w="100" w:type="dxa"/>
              <w:right w:w="100" w:type="dxa"/>
            </w:tcMar>
          </w:tcPr>
          <w:p>
            <w:r>
              <w:rPr>
                <w:color w:val="334155"/>
                <w:sz w:val="21"/>
              </w:rPr>
              <w:t>Altamash Shaikh</w:t>
            </w:r>
          </w:p>
        </w:tc>
      </w:tr>
      <w:tr>
        <w:tc>
          <w:tcPr>
            <w:tcW w:type="dxa" w:w="3168"/>
            <w:tcMar>
              <w:top w:w="60" w:type="dxa"/>
              <w:bottom w:w="60" w:type="dxa"/>
              <w:left w:w="100" w:type="dxa"/>
              <w:right w:w="100" w:type="dxa"/>
            </w:tcMar>
          </w:tcPr>
          <w:p>
            <w:r>
              <w:rPr>
                <w:b/>
                <w:color w:val="0F172A"/>
                <w:sz w:val="21"/>
              </w:rPr>
              <w:t>Roll Number / PRN:</w:t>
            </w:r>
          </w:p>
        </w:tc>
        <w:tc>
          <w:tcPr>
            <w:tcW w:type="dxa" w:w="5472"/>
            <w:tcMar>
              <w:top w:w="60" w:type="dxa"/>
              <w:bottom w:w="60" w:type="dxa"/>
              <w:left w:w="100" w:type="dxa"/>
              <w:right w:w="100" w:type="dxa"/>
            </w:tcMar>
          </w:tcPr>
          <w:p>
            <w:r>
              <w:rPr>
                <w:color w:val="334155"/>
                <w:sz w:val="21"/>
              </w:rPr>
              <w:t>69 / 1032230069</w:t>
            </w:r>
          </w:p>
        </w:tc>
      </w:tr>
      <w:tr>
        <w:tc>
          <w:tcPr>
            <w:tcW w:type="dxa" w:w="3168"/>
            <w:tcMar>
              <w:top w:w="60" w:type="dxa"/>
              <w:bottom w:w="60" w:type="dxa"/>
              <w:left w:w="100" w:type="dxa"/>
              <w:right w:w="100" w:type="dxa"/>
            </w:tcMar>
          </w:tcPr>
          <w:p>
            <w:r>
              <w:rPr>
                <w:b/>
                <w:color w:val="0F172A"/>
                <w:sz w:val="21"/>
              </w:rPr>
              <w:t>Department:</w:t>
            </w:r>
          </w:p>
        </w:tc>
        <w:tc>
          <w:tcPr>
            <w:tcW w:type="dxa" w:w="5472"/>
            <w:tcMar>
              <w:top w:w="60" w:type="dxa"/>
              <w:bottom w:w="60" w:type="dxa"/>
              <w:left w:w="100" w:type="dxa"/>
              <w:right w:w="100" w:type="dxa"/>
            </w:tcMar>
          </w:tcPr>
          <w:p>
            <w:r>
              <w:rPr>
                <w:color w:val="334155"/>
                <w:sz w:val="21"/>
              </w:rPr>
              <w:t>Artificial Intelligence &amp; Machine Learning</w:t>
            </w:r>
          </w:p>
        </w:tc>
      </w:tr>
      <w:tr>
        <w:tc>
          <w:tcPr>
            <w:tcW w:type="dxa" w:w="3168"/>
            <w:tcMar>
              <w:top w:w="60" w:type="dxa"/>
              <w:bottom w:w="60" w:type="dxa"/>
              <w:left w:w="100" w:type="dxa"/>
              <w:right w:w="100" w:type="dxa"/>
            </w:tcMar>
          </w:tcPr>
          <w:p>
            <w:r>
              <w:rPr>
                <w:b/>
                <w:color w:val="0F172A"/>
                <w:sz w:val="21"/>
              </w:rPr>
              <w:t>Semester / Year:</w:t>
            </w:r>
          </w:p>
        </w:tc>
        <w:tc>
          <w:tcPr>
            <w:tcW w:type="dxa" w:w="5472"/>
            <w:tcMar>
              <w:top w:w="60" w:type="dxa"/>
              <w:bottom w:w="60" w:type="dxa"/>
              <w:left w:w="100" w:type="dxa"/>
              <w:right w:w="100" w:type="dxa"/>
            </w:tcMar>
          </w:tcPr>
          <w:p>
            <w:r>
              <w:rPr>
                <w:color w:val="334155"/>
                <w:sz w:val="21"/>
              </w:rPr>
              <w:t>Semester VII / BE (4th Year)</w:t>
            </w:r>
          </w:p>
        </w:tc>
      </w:tr>
      <w:tr>
        <w:tc>
          <w:tcPr>
            <w:tcW w:type="dxa" w:w="3168"/>
            <w:tcMar>
              <w:top w:w="60" w:type="dxa"/>
              <w:bottom w:w="60" w:type="dxa"/>
              <w:left w:w="100" w:type="dxa"/>
              <w:right w:w="100" w:type="dxa"/>
            </w:tcMar>
          </w:tcPr>
          <w:p>
            <w:r>
              <w:rPr>
                <w:b/>
                <w:color w:val="0F172A"/>
                <w:sz w:val="21"/>
              </w:rPr>
              <w:t>Faculty Mentors / Guides:</w:t>
            </w:r>
          </w:p>
        </w:tc>
        <w:tc>
          <w:tcPr>
            <w:tcW w:type="dxa" w:w="5472"/>
            <w:tcMar>
              <w:top w:w="60" w:type="dxa"/>
              <w:bottom w:w="60" w:type="dxa"/>
              <w:left w:w="100" w:type="dxa"/>
              <w:right w:w="100" w:type="dxa"/>
            </w:tcMar>
          </w:tcPr>
          <w:p>
            <w:r>
              <w:rPr>
                <w:color w:val="334155"/>
                <w:sz w:val="21"/>
              </w:rPr>
              <w:t>Dr. Shiwani Gupta, Anand Maha</w:t>
            </w:r>
          </w:p>
        </w:tc>
      </w:tr>
      <w:tr>
        <w:tc>
          <w:tcPr>
            <w:tcW w:type="dxa" w:w="3168"/>
            <w:tcMar>
              <w:top w:w="60" w:type="dxa"/>
              <w:bottom w:w="60" w:type="dxa"/>
              <w:left w:w="100" w:type="dxa"/>
              <w:right w:w="100" w:type="dxa"/>
            </w:tcMar>
          </w:tcPr>
          <w:p>
            <w:r>
              <w:rPr>
                <w:b/>
                <w:color w:val="0F172A"/>
                <w:sz w:val="21"/>
              </w:rPr>
              <w:t>Email Contact:</w:t>
            </w:r>
          </w:p>
        </w:tc>
        <w:tc>
          <w:tcPr>
            <w:tcW w:type="dxa" w:w="5472"/>
            <w:tcMar>
              <w:top w:w="60" w:type="dxa"/>
              <w:bottom w:w="60" w:type="dxa"/>
              <w:left w:w="100" w:type="dxa"/>
              <w:right w:w="100" w:type="dxa"/>
            </w:tcMar>
          </w:tcPr>
          <w:p>
            <w:r>
              <w:rPr>
                <w:color w:val="334155"/>
                <w:sz w:val="21"/>
              </w:rPr>
              <w:t>altamashshaikh0069@gmail.com</w:t>
            </w:r>
          </w:p>
        </w:tc>
      </w:tr>
    </w:tbl>
    <w:p>
      <w:r>
        <w:br w:type="page"/>
      </w:r>
    </w:p>
    <w:p>
      <w:pPr>
        <w:pStyle w:val="Heading1"/>
      </w:pPr>
      <w:r>
        <w:rPr>
          <w:b/>
          <w:color w:val="0F172A"/>
          <w:sz w:val="36"/>
        </w:rPr>
        <w:t>Contents</w:t>
      </w:r>
    </w:p>
    <w:tbl>
      <w:tblPr>
        <w:tblW w:type="auto" w:w="0"/>
        <w:jc w:val="center"/>
        <w:tblLook w:firstColumn="1" w:firstRow="1" w:lastColumn="0" w:lastRow="0" w:noHBand="0" w:noVBand="1" w:val="04A0"/>
      </w:tblPr>
      <w:tblGrid>
        <w:gridCol w:w="4680"/>
        <w:gridCol w:w="4680"/>
      </w:tblGrid>
      <w:tr>
        <w:tc>
          <w:tcPr>
            <w:tcW w:type="dxa" w:w="7920"/>
            <w:tcMar>
              <w:top w:w="30" w:type="dxa"/>
              <w:bottom w:w="30" w:type="dxa"/>
              <w:left w:w="40" w:type="dxa"/>
              <w:right w:w="40" w:type="dxa"/>
            </w:tcMar>
          </w:tcPr>
          <w:p>
            <w:r>
              <w:rPr>
                <w:b/>
                <w:color w:val="0F172A"/>
                <w:sz w:val="20"/>
              </w:rPr>
              <w:t>Abstract</w:t>
            </w:r>
          </w:p>
        </w:tc>
        <w:tc>
          <w:tcPr>
            <w:tcW w:type="dxa" w:w="1152"/>
            <w:tcMar>
              <w:top w:w="30" w:type="dxa"/>
              <w:bottom w:w="30" w:type="dxa"/>
              <w:left w:w="40" w:type="dxa"/>
              <w:right w:w="40" w:type="dxa"/>
            </w:tcMar>
          </w:tcPr>
          <w:p>
            <w:pPr>
              <w:jc w:val="right"/>
            </w:pPr>
            <w:r>
              <w:rPr>
                <w:color w:val="64748B"/>
                <w:sz w:val="20"/>
              </w:rPr>
              <w:t>3</w:t>
            </w:r>
          </w:p>
        </w:tc>
      </w:tr>
      <w:tr>
        <w:tc>
          <w:tcPr>
            <w:tcW w:type="dxa" w:w="7920"/>
            <w:tcMar>
              <w:top w:w="30" w:type="dxa"/>
              <w:bottom w:w="30" w:type="dxa"/>
              <w:left w:w="40" w:type="dxa"/>
              <w:right w:w="40" w:type="dxa"/>
            </w:tcMar>
          </w:tcPr>
          <w:p>
            <w:r>
              <w:rPr>
                <w:b/>
                <w:color w:val="0F172A"/>
                <w:sz w:val="20"/>
              </w:rPr>
              <w:t>1  Introduction</w:t>
            </w:r>
          </w:p>
        </w:tc>
        <w:tc>
          <w:tcPr>
            <w:tcW w:type="dxa" w:w="1152"/>
            <w:tcMar>
              <w:top w:w="30" w:type="dxa"/>
              <w:bottom w:w="30" w:type="dxa"/>
              <w:left w:w="40" w:type="dxa"/>
              <w:right w:w="40" w:type="dxa"/>
            </w:tcMar>
          </w:tcPr>
          <w:p>
            <w:pPr>
              <w:jc w:val="right"/>
            </w:pPr>
            <w:r>
              <w:rPr>
                <w:color w:val="64748B"/>
                <w:sz w:val="20"/>
              </w:rPr>
              <w:t>4</w:t>
            </w:r>
          </w:p>
        </w:tc>
      </w:tr>
      <w:tr>
        <w:tc>
          <w:tcPr>
            <w:tcW w:type="dxa" w:w="7920"/>
            <w:tcMar>
              <w:top w:w="30" w:type="dxa"/>
              <w:bottom w:w="30" w:type="dxa"/>
              <w:left w:w="40" w:type="dxa"/>
              <w:right w:w="40" w:type="dxa"/>
            </w:tcMar>
          </w:tcPr>
          <w:p>
            <w:r>
              <w:rPr>
                <w:color w:val="475569"/>
                <w:sz w:val="20"/>
              </w:rPr>
              <w:t xml:space="preserve">    1.1  Background</w:t>
            </w:r>
          </w:p>
        </w:tc>
        <w:tc>
          <w:tcPr>
            <w:tcW w:type="dxa" w:w="1152"/>
            <w:tcMar>
              <w:top w:w="30" w:type="dxa"/>
              <w:bottom w:w="30" w:type="dxa"/>
              <w:left w:w="40" w:type="dxa"/>
              <w:right w:w="40" w:type="dxa"/>
            </w:tcMar>
          </w:tcPr>
          <w:p>
            <w:pPr>
              <w:jc w:val="right"/>
            </w:pPr>
            <w:r>
              <w:rPr>
                <w:color w:val="64748B"/>
                <w:sz w:val="20"/>
              </w:rPr>
              <w:t>4</w:t>
            </w:r>
          </w:p>
        </w:tc>
      </w:tr>
      <w:tr>
        <w:tc>
          <w:tcPr>
            <w:tcW w:type="dxa" w:w="7920"/>
            <w:tcMar>
              <w:top w:w="30" w:type="dxa"/>
              <w:bottom w:w="30" w:type="dxa"/>
              <w:left w:w="40" w:type="dxa"/>
              <w:right w:w="40" w:type="dxa"/>
            </w:tcMar>
          </w:tcPr>
          <w:p>
            <w:r>
              <w:rPr>
                <w:color w:val="475569"/>
                <w:sz w:val="20"/>
              </w:rPr>
              <w:t xml:space="preserve">    1.2  Motivation</w:t>
            </w:r>
          </w:p>
        </w:tc>
        <w:tc>
          <w:tcPr>
            <w:tcW w:type="dxa" w:w="1152"/>
            <w:tcMar>
              <w:top w:w="30" w:type="dxa"/>
              <w:bottom w:w="30" w:type="dxa"/>
              <w:left w:w="40" w:type="dxa"/>
              <w:right w:w="40" w:type="dxa"/>
            </w:tcMar>
          </w:tcPr>
          <w:p>
            <w:pPr>
              <w:jc w:val="right"/>
            </w:pPr>
            <w:r>
              <w:rPr>
                <w:color w:val="64748B"/>
                <w:sz w:val="20"/>
              </w:rPr>
              <w:t>4</w:t>
            </w:r>
          </w:p>
        </w:tc>
      </w:tr>
      <w:tr>
        <w:tc>
          <w:tcPr>
            <w:tcW w:type="dxa" w:w="7920"/>
            <w:tcMar>
              <w:top w:w="30" w:type="dxa"/>
              <w:bottom w:w="30" w:type="dxa"/>
              <w:left w:w="40" w:type="dxa"/>
              <w:right w:w="40" w:type="dxa"/>
            </w:tcMar>
          </w:tcPr>
          <w:p>
            <w:r>
              <w:rPr>
                <w:color w:val="475569"/>
                <w:sz w:val="20"/>
              </w:rPr>
              <w:t xml:space="preserve">    1.3  Problem Statement</w:t>
            </w:r>
          </w:p>
        </w:tc>
        <w:tc>
          <w:tcPr>
            <w:tcW w:type="dxa" w:w="1152"/>
            <w:tcMar>
              <w:top w:w="30" w:type="dxa"/>
              <w:bottom w:w="30" w:type="dxa"/>
              <w:left w:w="40" w:type="dxa"/>
              <w:right w:w="40" w:type="dxa"/>
            </w:tcMar>
          </w:tcPr>
          <w:p>
            <w:pPr>
              <w:jc w:val="right"/>
            </w:pPr>
            <w:r>
              <w:rPr>
                <w:color w:val="64748B"/>
                <w:sz w:val="20"/>
              </w:rPr>
              <w:t>5</w:t>
            </w:r>
          </w:p>
        </w:tc>
      </w:tr>
      <w:tr>
        <w:tc>
          <w:tcPr>
            <w:tcW w:type="dxa" w:w="7920"/>
            <w:tcMar>
              <w:top w:w="30" w:type="dxa"/>
              <w:bottom w:w="30" w:type="dxa"/>
              <w:left w:w="40" w:type="dxa"/>
              <w:right w:w="40" w:type="dxa"/>
            </w:tcMar>
          </w:tcPr>
          <w:p>
            <w:r>
              <w:rPr>
                <w:color w:val="475569"/>
                <w:sz w:val="20"/>
              </w:rPr>
              <w:t xml:space="preserve">    1.4  Scope of the Project</w:t>
            </w:r>
          </w:p>
        </w:tc>
        <w:tc>
          <w:tcPr>
            <w:tcW w:type="dxa" w:w="1152"/>
            <w:tcMar>
              <w:top w:w="30" w:type="dxa"/>
              <w:bottom w:w="30" w:type="dxa"/>
              <w:left w:w="40" w:type="dxa"/>
              <w:right w:w="40" w:type="dxa"/>
            </w:tcMar>
          </w:tcPr>
          <w:p>
            <w:pPr>
              <w:jc w:val="right"/>
            </w:pPr>
            <w:r>
              <w:rPr>
                <w:color w:val="64748B"/>
                <w:sz w:val="20"/>
              </w:rPr>
              <w:t>5</w:t>
            </w:r>
          </w:p>
        </w:tc>
      </w:tr>
      <w:tr>
        <w:tc>
          <w:tcPr>
            <w:tcW w:type="dxa" w:w="7920"/>
            <w:tcMar>
              <w:top w:w="30" w:type="dxa"/>
              <w:bottom w:w="30" w:type="dxa"/>
              <w:left w:w="40" w:type="dxa"/>
              <w:right w:w="40" w:type="dxa"/>
            </w:tcMar>
          </w:tcPr>
          <w:p>
            <w:r>
              <w:rPr>
                <w:b/>
                <w:color w:val="0F172A"/>
                <w:sz w:val="20"/>
              </w:rPr>
              <w:t>2  Literature Survey</w:t>
            </w:r>
          </w:p>
        </w:tc>
        <w:tc>
          <w:tcPr>
            <w:tcW w:type="dxa" w:w="1152"/>
            <w:tcMar>
              <w:top w:w="30" w:type="dxa"/>
              <w:bottom w:w="30" w:type="dxa"/>
              <w:left w:w="40" w:type="dxa"/>
              <w:right w:w="40" w:type="dxa"/>
            </w:tcMar>
          </w:tcPr>
          <w:p>
            <w:pPr>
              <w:jc w:val="right"/>
            </w:pPr>
            <w:r>
              <w:rPr>
                <w:color w:val="64748B"/>
                <w:sz w:val="20"/>
              </w:rPr>
              <w:t>6</w:t>
            </w:r>
          </w:p>
        </w:tc>
      </w:tr>
      <w:tr>
        <w:tc>
          <w:tcPr>
            <w:tcW w:type="dxa" w:w="7920"/>
            <w:tcMar>
              <w:top w:w="30" w:type="dxa"/>
              <w:bottom w:w="30" w:type="dxa"/>
              <w:left w:w="40" w:type="dxa"/>
              <w:right w:w="40" w:type="dxa"/>
            </w:tcMar>
          </w:tcPr>
          <w:p>
            <w:r>
              <w:rPr>
                <w:color w:val="475569"/>
                <w:sz w:val="20"/>
              </w:rPr>
              <w:t xml:space="preserve">    2.1  Catastrophic Forgetting and Continual Learning Foundations</w:t>
            </w:r>
          </w:p>
        </w:tc>
        <w:tc>
          <w:tcPr>
            <w:tcW w:type="dxa" w:w="1152"/>
            <w:tcMar>
              <w:top w:w="30" w:type="dxa"/>
              <w:bottom w:w="30" w:type="dxa"/>
              <w:left w:w="40" w:type="dxa"/>
              <w:right w:w="40" w:type="dxa"/>
            </w:tcMar>
          </w:tcPr>
          <w:p>
            <w:pPr>
              <w:jc w:val="right"/>
            </w:pPr>
            <w:r>
              <w:rPr>
                <w:color w:val="64748B"/>
                <w:sz w:val="20"/>
              </w:rPr>
              <w:t>6</w:t>
            </w:r>
          </w:p>
        </w:tc>
      </w:tr>
      <w:tr>
        <w:tc>
          <w:tcPr>
            <w:tcW w:type="dxa" w:w="7920"/>
            <w:tcMar>
              <w:top w:w="30" w:type="dxa"/>
              <w:bottom w:w="30" w:type="dxa"/>
              <w:left w:w="40" w:type="dxa"/>
              <w:right w:w="40" w:type="dxa"/>
            </w:tcMar>
          </w:tcPr>
          <w:p>
            <w:r>
              <w:rPr>
                <w:color w:val="475569"/>
                <w:sz w:val="20"/>
              </w:rPr>
              <w:t xml:space="preserve">    2.2  Parameter-Efficient Fine-Tuning (PEFT) and Low-Rank Adaptation</w:t>
            </w:r>
          </w:p>
        </w:tc>
        <w:tc>
          <w:tcPr>
            <w:tcW w:type="dxa" w:w="1152"/>
            <w:tcMar>
              <w:top w:w="30" w:type="dxa"/>
              <w:bottom w:w="30" w:type="dxa"/>
              <w:left w:w="40" w:type="dxa"/>
              <w:right w:w="40" w:type="dxa"/>
            </w:tcMar>
          </w:tcPr>
          <w:p>
            <w:pPr>
              <w:jc w:val="right"/>
            </w:pPr>
            <w:r>
              <w:rPr>
                <w:color w:val="64748B"/>
                <w:sz w:val="20"/>
              </w:rPr>
              <w:t>6</w:t>
            </w:r>
          </w:p>
        </w:tc>
      </w:tr>
      <w:tr>
        <w:tc>
          <w:tcPr>
            <w:tcW w:type="dxa" w:w="7920"/>
            <w:tcMar>
              <w:top w:w="30" w:type="dxa"/>
              <w:bottom w:w="30" w:type="dxa"/>
              <w:left w:w="40" w:type="dxa"/>
              <w:right w:w="40" w:type="dxa"/>
            </w:tcMar>
          </w:tcPr>
          <w:p>
            <w:r>
              <w:rPr>
                <w:color w:val="475569"/>
                <w:sz w:val="20"/>
              </w:rPr>
              <w:t xml:space="preserve">    2.3  Subspace Orthogonality and Manifold Regularization (O-LoRA, OPLoRA, OLieRA)</w:t>
            </w:r>
          </w:p>
        </w:tc>
        <w:tc>
          <w:tcPr>
            <w:tcW w:type="dxa" w:w="1152"/>
            <w:tcMar>
              <w:top w:w="30" w:type="dxa"/>
              <w:bottom w:w="30" w:type="dxa"/>
              <w:left w:w="40" w:type="dxa"/>
              <w:right w:w="40" w:type="dxa"/>
            </w:tcMar>
          </w:tcPr>
          <w:p>
            <w:pPr>
              <w:jc w:val="right"/>
            </w:pPr>
            <w:r>
              <w:rPr>
                <w:color w:val="64748B"/>
                <w:sz w:val="20"/>
              </w:rPr>
              <w:t>6</w:t>
            </w:r>
          </w:p>
        </w:tc>
      </w:tr>
      <w:tr>
        <w:tc>
          <w:tcPr>
            <w:tcW w:type="dxa" w:w="7920"/>
            <w:tcMar>
              <w:top w:w="30" w:type="dxa"/>
              <w:bottom w:w="30" w:type="dxa"/>
              <w:left w:w="40" w:type="dxa"/>
              <w:right w:w="40" w:type="dxa"/>
            </w:tcMar>
          </w:tcPr>
          <w:p>
            <w:r>
              <w:rPr>
                <w:color w:val="475569"/>
                <w:sz w:val="20"/>
              </w:rPr>
              <w:t xml:space="preserve">    2.4  Sparse Random Projections and Task-Free Continual Learning (LoRI)</w:t>
            </w:r>
          </w:p>
        </w:tc>
        <w:tc>
          <w:tcPr>
            <w:tcW w:type="dxa" w:w="1152"/>
            <w:tcMar>
              <w:top w:w="30" w:type="dxa"/>
              <w:bottom w:w="30" w:type="dxa"/>
              <w:left w:w="40" w:type="dxa"/>
              <w:right w:w="40" w:type="dxa"/>
            </w:tcMar>
          </w:tcPr>
          <w:p>
            <w:pPr>
              <w:jc w:val="right"/>
            </w:pPr>
            <w:r>
              <w:rPr>
                <w:color w:val="64748B"/>
                <w:sz w:val="20"/>
              </w:rPr>
              <w:t>7</w:t>
            </w:r>
          </w:p>
        </w:tc>
      </w:tr>
      <w:tr>
        <w:tc>
          <w:tcPr>
            <w:tcW w:type="dxa" w:w="7920"/>
            <w:tcMar>
              <w:top w:w="30" w:type="dxa"/>
              <w:bottom w:w="30" w:type="dxa"/>
              <w:left w:w="40" w:type="dxa"/>
              <w:right w:w="40" w:type="dxa"/>
            </w:tcMar>
          </w:tcPr>
          <w:p>
            <w:r>
              <w:rPr>
                <w:color w:val="475569"/>
                <w:sz w:val="20"/>
              </w:rPr>
              <w:t xml:space="preserve">    2.5  Autonomous Self-Editing Language Models (SEAL)</w:t>
            </w:r>
          </w:p>
        </w:tc>
        <w:tc>
          <w:tcPr>
            <w:tcW w:type="dxa" w:w="1152"/>
            <w:tcMar>
              <w:top w:w="30" w:type="dxa"/>
              <w:bottom w:w="30" w:type="dxa"/>
              <w:left w:w="40" w:type="dxa"/>
              <w:right w:w="40" w:type="dxa"/>
            </w:tcMar>
          </w:tcPr>
          <w:p>
            <w:pPr>
              <w:jc w:val="right"/>
            </w:pPr>
            <w:r>
              <w:rPr>
                <w:color w:val="64748B"/>
                <w:sz w:val="20"/>
              </w:rPr>
              <w:t>7</w:t>
            </w:r>
          </w:p>
        </w:tc>
      </w:tr>
      <w:tr>
        <w:tc>
          <w:tcPr>
            <w:tcW w:type="dxa" w:w="7920"/>
            <w:tcMar>
              <w:top w:w="30" w:type="dxa"/>
              <w:bottom w:w="30" w:type="dxa"/>
              <w:left w:w="40" w:type="dxa"/>
              <w:right w:w="40" w:type="dxa"/>
            </w:tcMar>
          </w:tcPr>
          <w:p>
            <w:r>
              <w:rPr>
                <w:color w:val="475569"/>
                <w:sz w:val="20"/>
              </w:rPr>
              <w:t xml:space="preserve">    2.6  Comparative Analysis of Prior Art (Structured Comparison Table)</w:t>
            </w:r>
          </w:p>
        </w:tc>
        <w:tc>
          <w:tcPr>
            <w:tcW w:type="dxa" w:w="1152"/>
            <w:tcMar>
              <w:top w:w="30" w:type="dxa"/>
              <w:bottom w:w="30" w:type="dxa"/>
              <w:left w:w="40" w:type="dxa"/>
              <w:right w:w="40" w:type="dxa"/>
            </w:tcMar>
          </w:tcPr>
          <w:p>
            <w:pPr>
              <w:jc w:val="right"/>
            </w:pPr>
            <w:r>
              <w:rPr>
                <w:color w:val="64748B"/>
                <w:sz w:val="20"/>
              </w:rPr>
              <w:t>7</w:t>
            </w:r>
          </w:p>
        </w:tc>
      </w:tr>
      <w:tr>
        <w:tc>
          <w:tcPr>
            <w:tcW w:type="dxa" w:w="7920"/>
            <w:tcMar>
              <w:top w:w="30" w:type="dxa"/>
              <w:bottom w:w="30" w:type="dxa"/>
              <w:left w:w="40" w:type="dxa"/>
              <w:right w:w="40" w:type="dxa"/>
            </w:tcMar>
          </w:tcPr>
          <w:p>
            <w:r>
              <w:rPr>
                <w:color w:val="475569"/>
                <w:sz w:val="20"/>
              </w:rPr>
              <w:t xml:space="preserve">    2.7  Summary of Research Gap and Hypotheses Formulation</w:t>
            </w:r>
          </w:p>
        </w:tc>
        <w:tc>
          <w:tcPr>
            <w:tcW w:type="dxa" w:w="1152"/>
            <w:tcMar>
              <w:top w:w="30" w:type="dxa"/>
              <w:bottom w:w="30" w:type="dxa"/>
              <w:left w:w="40" w:type="dxa"/>
              <w:right w:w="40" w:type="dxa"/>
            </w:tcMar>
          </w:tcPr>
          <w:p>
            <w:pPr>
              <w:jc w:val="right"/>
            </w:pPr>
            <w:r>
              <w:rPr>
                <w:color w:val="64748B"/>
                <w:sz w:val="20"/>
              </w:rPr>
              <w:t>8</w:t>
            </w:r>
          </w:p>
        </w:tc>
      </w:tr>
      <w:tr>
        <w:tc>
          <w:tcPr>
            <w:tcW w:type="dxa" w:w="7920"/>
            <w:tcMar>
              <w:top w:w="30" w:type="dxa"/>
              <w:bottom w:w="30" w:type="dxa"/>
              <w:left w:w="40" w:type="dxa"/>
              <w:right w:w="40" w:type="dxa"/>
            </w:tcMar>
          </w:tcPr>
          <w:p>
            <w:r>
              <w:rPr>
                <w:b/>
                <w:color w:val="0F172A"/>
                <w:sz w:val="20"/>
              </w:rPr>
              <w:t>3  Objectives</w:t>
            </w:r>
          </w:p>
        </w:tc>
        <w:tc>
          <w:tcPr>
            <w:tcW w:type="dxa" w:w="1152"/>
            <w:tcMar>
              <w:top w:w="30" w:type="dxa"/>
              <w:bottom w:w="30" w:type="dxa"/>
              <w:left w:w="40" w:type="dxa"/>
              <w:right w:w="40" w:type="dxa"/>
            </w:tcMar>
          </w:tcPr>
          <w:p>
            <w:pPr>
              <w:jc w:val="right"/>
            </w:pPr>
            <w:r>
              <w:rPr>
                <w:color w:val="64748B"/>
                <w:sz w:val="20"/>
              </w:rPr>
              <w:t>9</w:t>
            </w:r>
          </w:p>
        </w:tc>
      </w:tr>
      <w:tr>
        <w:tc>
          <w:tcPr>
            <w:tcW w:type="dxa" w:w="7920"/>
            <w:tcMar>
              <w:top w:w="30" w:type="dxa"/>
              <w:bottom w:w="30" w:type="dxa"/>
              <w:left w:w="40" w:type="dxa"/>
              <w:right w:w="40" w:type="dxa"/>
            </w:tcMar>
          </w:tcPr>
          <w:p>
            <w:r>
              <w:rPr>
                <w:b/>
                <w:color w:val="0F172A"/>
                <w:sz w:val="20"/>
              </w:rPr>
              <w:t>4  Problem Formulation and System Objective</w:t>
            </w:r>
          </w:p>
        </w:tc>
        <w:tc>
          <w:tcPr>
            <w:tcW w:type="dxa" w:w="1152"/>
            <w:tcMar>
              <w:top w:w="30" w:type="dxa"/>
              <w:bottom w:w="30" w:type="dxa"/>
              <w:left w:w="40" w:type="dxa"/>
              <w:right w:w="40" w:type="dxa"/>
            </w:tcMar>
          </w:tcPr>
          <w:p>
            <w:pPr>
              <w:jc w:val="right"/>
            </w:pPr>
            <w:r>
              <w:rPr>
                <w:color w:val="64748B"/>
                <w:sz w:val="20"/>
              </w:rPr>
              <w:t>10</w:t>
            </w:r>
          </w:p>
        </w:tc>
      </w:tr>
      <w:tr>
        <w:tc>
          <w:tcPr>
            <w:tcW w:type="dxa" w:w="7920"/>
            <w:tcMar>
              <w:top w:w="30" w:type="dxa"/>
              <w:bottom w:w="30" w:type="dxa"/>
              <w:left w:w="40" w:type="dxa"/>
              <w:right w:w="40" w:type="dxa"/>
            </w:tcMar>
          </w:tcPr>
          <w:p>
            <w:r>
              <w:rPr>
                <w:b/>
                <w:color w:val="0F172A"/>
                <w:sz w:val="20"/>
              </w:rPr>
              <w:t>5  Proposed System: Methodology and Architecture</w:t>
            </w:r>
          </w:p>
        </w:tc>
        <w:tc>
          <w:tcPr>
            <w:tcW w:type="dxa" w:w="1152"/>
            <w:tcMar>
              <w:top w:w="30" w:type="dxa"/>
              <w:bottom w:w="30" w:type="dxa"/>
              <w:left w:w="40" w:type="dxa"/>
              <w:right w:w="40" w:type="dxa"/>
            </w:tcMar>
          </w:tcPr>
          <w:p>
            <w:pPr>
              <w:jc w:val="right"/>
            </w:pPr>
            <w:r>
              <w:rPr>
                <w:color w:val="64748B"/>
                <w:sz w:val="20"/>
              </w:rPr>
              <w:t>11</w:t>
            </w:r>
          </w:p>
        </w:tc>
      </w:tr>
      <w:tr>
        <w:tc>
          <w:tcPr>
            <w:tcW w:type="dxa" w:w="7920"/>
            <w:tcMar>
              <w:top w:w="30" w:type="dxa"/>
              <w:bottom w:w="30" w:type="dxa"/>
              <w:left w:w="40" w:type="dxa"/>
              <w:right w:w="40" w:type="dxa"/>
            </w:tcMar>
          </w:tcPr>
          <w:p>
            <w:r>
              <w:rPr>
                <w:color w:val="475569"/>
                <w:sz w:val="20"/>
              </w:rPr>
              <w:t xml:space="preserve">    5.1  System Overview &amp; Workflow Architecture Diagram</w:t>
            </w:r>
          </w:p>
        </w:tc>
        <w:tc>
          <w:tcPr>
            <w:tcW w:type="dxa" w:w="1152"/>
            <w:tcMar>
              <w:top w:w="30" w:type="dxa"/>
              <w:bottom w:w="30" w:type="dxa"/>
              <w:left w:w="40" w:type="dxa"/>
              <w:right w:w="40" w:type="dxa"/>
            </w:tcMar>
          </w:tcPr>
          <w:p>
            <w:pPr>
              <w:jc w:val="right"/>
            </w:pPr>
            <w:r>
              <w:rPr>
                <w:color w:val="64748B"/>
                <w:sz w:val="20"/>
              </w:rPr>
              <w:t>11</w:t>
            </w:r>
          </w:p>
        </w:tc>
      </w:tr>
      <w:tr>
        <w:tc>
          <w:tcPr>
            <w:tcW w:type="dxa" w:w="7920"/>
            <w:tcMar>
              <w:top w:w="30" w:type="dxa"/>
              <w:bottom w:w="30" w:type="dxa"/>
              <w:left w:w="40" w:type="dxa"/>
              <w:right w:w="40" w:type="dxa"/>
            </w:tcMar>
          </w:tcPr>
          <w:p>
            <w:r>
              <w:rPr>
                <w:color w:val="475569"/>
                <w:sz w:val="20"/>
              </w:rPr>
              <w:t xml:space="preserve">    5.2  Phase 1: Post-2024 Fact Pool Curation and Novelty Pre-Verification</w:t>
            </w:r>
          </w:p>
        </w:tc>
        <w:tc>
          <w:tcPr>
            <w:tcW w:type="dxa" w:w="1152"/>
            <w:tcMar>
              <w:top w:w="30" w:type="dxa"/>
              <w:bottom w:w="30" w:type="dxa"/>
              <w:left w:w="40" w:type="dxa"/>
              <w:right w:w="40" w:type="dxa"/>
            </w:tcMar>
          </w:tcPr>
          <w:p>
            <w:pPr>
              <w:jc w:val="right"/>
            </w:pPr>
            <w:r>
              <w:rPr>
                <w:color w:val="64748B"/>
                <w:sz w:val="20"/>
              </w:rPr>
              <w:t>12</w:t>
            </w:r>
          </w:p>
        </w:tc>
      </w:tr>
      <w:tr>
        <w:tc>
          <w:tcPr>
            <w:tcW w:type="dxa" w:w="7920"/>
            <w:tcMar>
              <w:top w:w="30" w:type="dxa"/>
              <w:bottom w:w="30" w:type="dxa"/>
              <w:left w:w="40" w:type="dxa"/>
              <w:right w:w="40" w:type="dxa"/>
            </w:tcMar>
          </w:tcPr>
          <w:p>
            <w:r>
              <w:rPr>
                <w:color w:val="475569"/>
                <w:sz w:val="20"/>
              </w:rPr>
              <w:t xml:space="preserve">    5.3  Phase 2: Autonomous Curriculum Sequencing Engine</w:t>
            </w:r>
          </w:p>
        </w:tc>
        <w:tc>
          <w:tcPr>
            <w:tcW w:type="dxa" w:w="1152"/>
            <w:tcMar>
              <w:top w:w="30" w:type="dxa"/>
              <w:bottom w:w="30" w:type="dxa"/>
              <w:left w:w="40" w:type="dxa"/>
              <w:right w:w="40" w:type="dxa"/>
            </w:tcMar>
          </w:tcPr>
          <w:p>
            <w:pPr>
              <w:jc w:val="right"/>
            </w:pPr>
            <w:r>
              <w:rPr>
                <w:color w:val="64748B"/>
                <w:sz w:val="20"/>
              </w:rPr>
              <w:t>13</w:t>
            </w:r>
          </w:p>
        </w:tc>
      </w:tr>
      <w:tr>
        <w:tc>
          <w:tcPr>
            <w:tcW w:type="dxa" w:w="7920"/>
            <w:tcMar>
              <w:top w:w="30" w:type="dxa"/>
              <w:bottom w:w="30" w:type="dxa"/>
              <w:left w:w="40" w:type="dxa"/>
              <w:right w:w="40" w:type="dxa"/>
            </w:tcMar>
          </w:tcPr>
          <w:p>
            <w:r>
              <w:rPr>
                <w:color w:val="475569"/>
                <w:sz w:val="20"/>
              </w:rPr>
              <w:t xml:space="preserve">    5.4  Phase 3: Continual Self-Editing and PEFT Adaptation Stack</w:t>
            </w:r>
          </w:p>
        </w:tc>
        <w:tc>
          <w:tcPr>
            <w:tcW w:type="dxa" w:w="1152"/>
            <w:tcMar>
              <w:top w:w="30" w:type="dxa"/>
              <w:bottom w:w="30" w:type="dxa"/>
              <w:left w:w="40" w:type="dxa"/>
              <w:right w:w="40" w:type="dxa"/>
            </w:tcMar>
          </w:tcPr>
          <w:p>
            <w:pPr>
              <w:jc w:val="right"/>
            </w:pPr>
            <w:r>
              <w:rPr>
                <w:color w:val="64748B"/>
                <w:sz w:val="20"/>
              </w:rPr>
              <w:t>13</w:t>
            </w:r>
          </w:p>
        </w:tc>
      </w:tr>
      <w:tr>
        <w:tc>
          <w:tcPr>
            <w:tcW w:type="dxa" w:w="7920"/>
            <w:tcMar>
              <w:top w:w="30" w:type="dxa"/>
              <w:bottom w:w="30" w:type="dxa"/>
              <w:left w:w="40" w:type="dxa"/>
              <w:right w:w="40" w:type="dxa"/>
            </w:tcMar>
          </w:tcPr>
          <w:p>
            <w:r>
              <w:rPr>
                <w:color w:val="475569"/>
                <w:sz w:val="20"/>
              </w:rPr>
              <w:t xml:space="preserve">    5.5  Phase 4: Cumulative Evaluation and The Curriculum Transfer Gap Metric</w:t>
            </w:r>
          </w:p>
        </w:tc>
        <w:tc>
          <w:tcPr>
            <w:tcW w:type="dxa" w:w="1152"/>
            <w:tcMar>
              <w:top w:w="30" w:type="dxa"/>
              <w:bottom w:w="30" w:type="dxa"/>
              <w:left w:w="40" w:type="dxa"/>
              <w:right w:w="40" w:type="dxa"/>
            </w:tcMar>
          </w:tcPr>
          <w:p>
            <w:pPr>
              <w:jc w:val="right"/>
            </w:pPr>
            <w:r>
              <w:rPr>
                <w:color w:val="64748B"/>
                <w:sz w:val="20"/>
              </w:rPr>
              <w:t>14</w:t>
            </w:r>
          </w:p>
        </w:tc>
      </w:tr>
      <w:tr>
        <w:tc>
          <w:tcPr>
            <w:tcW w:type="dxa" w:w="7920"/>
            <w:tcMar>
              <w:top w:w="30" w:type="dxa"/>
              <w:bottom w:w="30" w:type="dxa"/>
              <w:left w:w="40" w:type="dxa"/>
              <w:right w:w="40" w:type="dxa"/>
            </w:tcMar>
          </w:tcPr>
          <w:p>
            <w:r>
              <w:rPr>
                <w:color w:val="475569"/>
                <w:sz w:val="20"/>
              </w:rPr>
              <w:t xml:space="preserve">    5.6  Phase 5: Multi-Layered Intellectual Property and Watermarking Safeguards</w:t>
            </w:r>
          </w:p>
        </w:tc>
        <w:tc>
          <w:tcPr>
            <w:tcW w:type="dxa" w:w="1152"/>
            <w:tcMar>
              <w:top w:w="30" w:type="dxa"/>
              <w:bottom w:w="30" w:type="dxa"/>
              <w:left w:w="40" w:type="dxa"/>
              <w:right w:w="40" w:type="dxa"/>
            </w:tcMar>
          </w:tcPr>
          <w:p>
            <w:pPr>
              <w:jc w:val="right"/>
            </w:pPr>
            <w:r>
              <w:rPr>
                <w:color w:val="64748B"/>
                <w:sz w:val="20"/>
              </w:rPr>
              <w:t>15</w:t>
            </w:r>
          </w:p>
        </w:tc>
      </w:tr>
      <w:tr>
        <w:tc>
          <w:tcPr>
            <w:tcW w:type="dxa" w:w="7920"/>
            <w:tcMar>
              <w:top w:w="30" w:type="dxa"/>
              <w:bottom w:w="30" w:type="dxa"/>
              <w:left w:w="40" w:type="dxa"/>
              <w:right w:w="40" w:type="dxa"/>
            </w:tcMar>
          </w:tcPr>
          <w:p>
            <w:r>
              <w:rPr>
                <w:b/>
                <w:color w:val="0F172A"/>
                <w:sz w:val="20"/>
              </w:rPr>
              <w:t>6  Requirement Analysis</w:t>
            </w:r>
          </w:p>
        </w:tc>
        <w:tc>
          <w:tcPr>
            <w:tcW w:type="dxa" w:w="1152"/>
            <w:tcMar>
              <w:top w:w="30" w:type="dxa"/>
              <w:bottom w:w="30" w:type="dxa"/>
              <w:left w:w="40" w:type="dxa"/>
              <w:right w:w="40" w:type="dxa"/>
            </w:tcMar>
          </w:tcPr>
          <w:p>
            <w:pPr>
              <w:jc w:val="right"/>
            </w:pPr>
            <w:r>
              <w:rPr>
                <w:color w:val="64748B"/>
                <w:sz w:val="20"/>
              </w:rPr>
              <w:t>16</w:t>
            </w:r>
          </w:p>
        </w:tc>
      </w:tr>
      <w:tr>
        <w:tc>
          <w:tcPr>
            <w:tcW w:type="dxa" w:w="7920"/>
            <w:tcMar>
              <w:top w:w="30" w:type="dxa"/>
              <w:bottom w:w="30" w:type="dxa"/>
              <w:left w:w="40" w:type="dxa"/>
              <w:right w:w="40" w:type="dxa"/>
            </w:tcMar>
          </w:tcPr>
          <w:p>
            <w:r>
              <w:rPr>
                <w:color w:val="475569"/>
                <w:sz w:val="20"/>
              </w:rPr>
              <w:t xml:space="preserve">    6.1  Hardware Requirements</w:t>
            </w:r>
          </w:p>
        </w:tc>
        <w:tc>
          <w:tcPr>
            <w:tcW w:type="dxa" w:w="1152"/>
            <w:tcMar>
              <w:top w:w="30" w:type="dxa"/>
              <w:bottom w:w="30" w:type="dxa"/>
              <w:left w:w="40" w:type="dxa"/>
              <w:right w:w="40" w:type="dxa"/>
            </w:tcMar>
          </w:tcPr>
          <w:p>
            <w:pPr>
              <w:jc w:val="right"/>
            </w:pPr>
            <w:r>
              <w:rPr>
                <w:color w:val="64748B"/>
                <w:sz w:val="20"/>
              </w:rPr>
              <w:t>16</w:t>
            </w:r>
          </w:p>
        </w:tc>
      </w:tr>
      <w:tr>
        <w:tc>
          <w:tcPr>
            <w:tcW w:type="dxa" w:w="7920"/>
            <w:tcMar>
              <w:top w:w="30" w:type="dxa"/>
              <w:bottom w:w="30" w:type="dxa"/>
              <w:left w:w="40" w:type="dxa"/>
              <w:right w:w="40" w:type="dxa"/>
            </w:tcMar>
          </w:tcPr>
          <w:p>
            <w:r>
              <w:rPr>
                <w:color w:val="475569"/>
                <w:sz w:val="20"/>
              </w:rPr>
              <w:t xml:space="preserve">    6.2  Software Requirements</w:t>
            </w:r>
          </w:p>
        </w:tc>
        <w:tc>
          <w:tcPr>
            <w:tcW w:type="dxa" w:w="1152"/>
            <w:tcMar>
              <w:top w:w="30" w:type="dxa"/>
              <w:bottom w:w="30" w:type="dxa"/>
              <w:left w:w="40" w:type="dxa"/>
              <w:right w:w="40" w:type="dxa"/>
            </w:tcMar>
          </w:tcPr>
          <w:p>
            <w:pPr>
              <w:jc w:val="right"/>
            </w:pPr>
            <w:r>
              <w:rPr>
                <w:color w:val="64748B"/>
                <w:sz w:val="20"/>
              </w:rPr>
              <w:t>16</w:t>
            </w:r>
          </w:p>
        </w:tc>
      </w:tr>
      <w:tr>
        <w:tc>
          <w:tcPr>
            <w:tcW w:type="dxa" w:w="7920"/>
            <w:tcMar>
              <w:top w:w="30" w:type="dxa"/>
              <w:bottom w:w="30" w:type="dxa"/>
              <w:left w:w="40" w:type="dxa"/>
              <w:right w:w="40" w:type="dxa"/>
            </w:tcMar>
          </w:tcPr>
          <w:p>
            <w:r>
              <w:rPr>
                <w:color w:val="475569"/>
                <w:sz w:val="20"/>
              </w:rPr>
              <w:t xml:space="preserve">    6.3  Dataset Requirements</w:t>
            </w:r>
          </w:p>
        </w:tc>
        <w:tc>
          <w:tcPr>
            <w:tcW w:type="dxa" w:w="1152"/>
            <w:tcMar>
              <w:top w:w="30" w:type="dxa"/>
              <w:bottom w:w="30" w:type="dxa"/>
              <w:left w:w="40" w:type="dxa"/>
              <w:right w:w="40" w:type="dxa"/>
            </w:tcMar>
          </w:tcPr>
          <w:p>
            <w:pPr>
              <w:jc w:val="right"/>
            </w:pPr>
            <w:r>
              <w:rPr>
                <w:color w:val="64748B"/>
                <w:sz w:val="20"/>
              </w:rPr>
              <w:t>16</w:t>
            </w:r>
          </w:p>
        </w:tc>
      </w:tr>
      <w:tr>
        <w:tc>
          <w:tcPr>
            <w:tcW w:type="dxa" w:w="7920"/>
            <w:tcMar>
              <w:top w:w="30" w:type="dxa"/>
              <w:bottom w:w="30" w:type="dxa"/>
              <w:left w:w="40" w:type="dxa"/>
              <w:right w:w="40" w:type="dxa"/>
            </w:tcMar>
          </w:tcPr>
          <w:p>
            <w:r>
              <w:rPr>
                <w:b/>
                <w:color w:val="0F172A"/>
                <w:sz w:val="20"/>
              </w:rPr>
              <w:t>7  Experimental Protocol and Validation Plan</w:t>
            </w:r>
          </w:p>
        </w:tc>
        <w:tc>
          <w:tcPr>
            <w:tcW w:type="dxa" w:w="1152"/>
            <w:tcMar>
              <w:top w:w="30" w:type="dxa"/>
              <w:bottom w:w="30" w:type="dxa"/>
              <w:left w:w="40" w:type="dxa"/>
              <w:right w:w="40" w:type="dxa"/>
            </w:tcMar>
          </w:tcPr>
          <w:p>
            <w:pPr>
              <w:jc w:val="right"/>
            </w:pPr>
            <w:r>
              <w:rPr>
                <w:color w:val="64748B"/>
                <w:sz w:val="20"/>
              </w:rPr>
              <w:t>17</w:t>
            </w:r>
          </w:p>
        </w:tc>
      </w:tr>
      <w:tr>
        <w:tc>
          <w:tcPr>
            <w:tcW w:type="dxa" w:w="7920"/>
            <w:tcMar>
              <w:top w:w="30" w:type="dxa"/>
              <w:bottom w:w="30" w:type="dxa"/>
              <w:left w:w="40" w:type="dxa"/>
              <w:right w:w="40" w:type="dxa"/>
            </w:tcMar>
          </w:tcPr>
          <w:p>
            <w:r>
              <w:rPr>
                <w:color w:val="475569"/>
                <w:sz w:val="20"/>
              </w:rPr>
              <w:t xml:space="preserve">    7.1  Datasets and Factual Tasks</w:t>
            </w:r>
          </w:p>
        </w:tc>
        <w:tc>
          <w:tcPr>
            <w:tcW w:type="dxa" w:w="1152"/>
            <w:tcMar>
              <w:top w:w="30" w:type="dxa"/>
              <w:bottom w:w="30" w:type="dxa"/>
              <w:left w:w="40" w:type="dxa"/>
              <w:right w:w="40" w:type="dxa"/>
            </w:tcMar>
          </w:tcPr>
          <w:p>
            <w:pPr>
              <w:jc w:val="right"/>
            </w:pPr>
            <w:r>
              <w:rPr>
                <w:color w:val="64748B"/>
                <w:sz w:val="20"/>
              </w:rPr>
              <w:t>17</w:t>
            </w:r>
          </w:p>
        </w:tc>
      </w:tr>
      <w:tr>
        <w:tc>
          <w:tcPr>
            <w:tcW w:type="dxa" w:w="7920"/>
            <w:tcMar>
              <w:top w:w="30" w:type="dxa"/>
              <w:bottom w:w="30" w:type="dxa"/>
              <w:left w:w="40" w:type="dxa"/>
              <w:right w:w="40" w:type="dxa"/>
            </w:tcMar>
          </w:tcPr>
          <w:p>
            <w:r>
              <w:rPr>
                <w:color w:val="475569"/>
                <w:sz w:val="20"/>
              </w:rPr>
              <w:t xml:space="preserve">    7.2  Training Configuration and Hyperparameter Matrix</w:t>
            </w:r>
          </w:p>
        </w:tc>
        <w:tc>
          <w:tcPr>
            <w:tcW w:type="dxa" w:w="1152"/>
            <w:tcMar>
              <w:top w:w="30" w:type="dxa"/>
              <w:bottom w:w="30" w:type="dxa"/>
              <w:left w:w="40" w:type="dxa"/>
              <w:right w:w="40" w:type="dxa"/>
            </w:tcMar>
          </w:tcPr>
          <w:p>
            <w:pPr>
              <w:jc w:val="right"/>
            </w:pPr>
            <w:r>
              <w:rPr>
                <w:color w:val="64748B"/>
                <w:sz w:val="20"/>
              </w:rPr>
              <w:t>17</w:t>
            </w:r>
          </w:p>
        </w:tc>
      </w:tr>
      <w:tr>
        <w:tc>
          <w:tcPr>
            <w:tcW w:type="dxa" w:w="7920"/>
            <w:tcMar>
              <w:top w:w="30" w:type="dxa"/>
              <w:bottom w:w="30" w:type="dxa"/>
              <w:left w:w="40" w:type="dxa"/>
              <w:right w:w="40" w:type="dxa"/>
            </w:tcMar>
          </w:tcPr>
          <w:p>
            <w:r>
              <w:rPr>
                <w:color w:val="475569"/>
                <w:sz w:val="20"/>
              </w:rPr>
              <w:t xml:space="preserve">    7.3  Evaluation &amp; Measurement Methodology</w:t>
            </w:r>
          </w:p>
        </w:tc>
        <w:tc>
          <w:tcPr>
            <w:tcW w:type="dxa" w:w="1152"/>
            <w:tcMar>
              <w:top w:w="30" w:type="dxa"/>
              <w:bottom w:w="30" w:type="dxa"/>
              <w:left w:w="40" w:type="dxa"/>
              <w:right w:w="40" w:type="dxa"/>
            </w:tcMar>
          </w:tcPr>
          <w:p>
            <w:pPr>
              <w:jc w:val="right"/>
            </w:pPr>
            <w:r>
              <w:rPr>
                <w:color w:val="64748B"/>
                <w:sz w:val="20"/>
              </w:rPr>
              <w:t>18</w:t>
            </w:r>
          </w:p>
        </w:tc>
      </w:tr>
      <w:tr>
        <w:tc>
          <w:tcPr>
            <w:tcW w:type="dxa" w:w="7920"/>
            <w:tcMar>
              <w:top w:w="30" w:type="dxa"/>
              <w:bottom w:w="30" w:type="dxa"/>
              <w:left w:w="40" w:type="dxa"/>
              <w:right w:w="40" w:type="dxa"/>
            </w:tcMar>
          </w:tcPr>
          <w:p>
            <w:r>
              <w:rPr>
                <w:color w:val="475569"/>
                <w:sz w:val="20"/>
              </w:rPr>
              <w:t xml:space="preserve">    7.4  Ablation Plan and Controlled Experimental Configurations</w:t>
            </w:r>
          </w:p>
        </w:tc>
        <w:tc>
          <w:tcPr>
            <w:tcW w:type="dxa" w:w="1152"/>
            <w:tcMar>
              <w:top w:w="30" w:type="dxa"/>
              <w:bottom w:w="30" w:type="dxa"/>
              <w:left w:w="40" w:type="dxa"/>
              <w:right w:w="40" w:type="dxa"/>
            </w:tcMar>
          </w:tcPr>
          <w:p>
            <w:pPr>
              <w:jc w:val="right"/>
            </w:pPr>
            <w:r>
              <w:rPr>
                <w:color w:val="64748B"/>
                <w:sz w:val="20"/>
              </w:rPr>
              <w:t>18</w:t>
            </w:r>
          </w:p>
        </w:tc>
      </w:tr>
      <w:tr>
        <w:tc>
          <w:tcPr>
            <w:tcW w:type="dxa" w:w="7920"/>
            <w:tcMar>
              <w:top w:w="30" w:type="dxa"/>
              <w:bottom w:w="30" w:type="dxa"/>
              <w:left w:w="40" w:type="dxa"/>
              <w:right w:w="40" w:type="dxa"/>
            </w:tcMar>
          </w:tcPr>
          <w:p>
            <w:r>
              <w:rPr>
                <w:b/>
                <w:color w:val="0F172A"/>
                <w:sz w:val="20"/>
              </w:rPr>
              <w:t>8  Expected Outcomes and Empirical Findings</w:t>
            </w:r>
          </w:p>
        </w:tc>
        <w:tc>
          <w:tcPr>
            <w:tcW w:type="dxa" w:w="1152"/>
            <w:tcMar>
              <w:top w:w="30" w:type="dxa"/>
              <w:bottom w:w="30" w:type="dxa"/>
              <w:left w:w="40" w:type="dxa"/>
              <w:right w:w="40" w:type="dxa"/>
            </w:tcMar>
          </w:tcPr>
          <w:p>
            <w:pPr>
              <w:jc w:val="right"/>
            </w:pPr>
            <w:r>
              <w:rPr>
                <w:color w:val="64748B"/>
                <w:sz w:val="20"/>
              </w:rPr>
              <w:t>19</w:t>
            </w:r>
          </w:p>
        </w:tc>
      </w:tr>
      <w:tr>
        <w:tc>
          <w:tcPr>
            <w:tcW w:type="dxa" w:w="7920"/>
            <w:tcMar>
              <w:top w:w="30" w:type="dxa"/>
              <w:bottom w:w="30" w:type="dxa"/>
              <w:left w:w="40" w:type="dxa"/>
              <w:right w:w="40" w:type="dxa"/>
            </w:tcMar>
          </w:tcPr>
          <w:p>
            <w:r>
              <w:rPr>
                <w:color w:val="475569"/>
                <w:sz w:val="20"/>
              </w:rPr>
              <w:t xml:space="preserve">    8.1  Empirical Performance Matrix</w:t>
            </w:r>
          </w:p>
        </w:tc>
        <w:tc>
          <w:tcPr>
            <w:tcW w:type="dxa" w:w="1152"/>
            <w:tcMar>
              <w:top w:w="30" w:type="dxa"/>
              <w:bottom w:w="30" w:type="dxa"/>
              <w:left w:w="40" w:type="dxa"/>
              <w:right w:w="40" w:type="dxa"/>
            </w:tcMar>
          </w:tcPr>
          <w:p>
            <w:pPr>
              <w:jc w:val="right"/>
            </w:pPr>
            <w:r>
              <w:rPr>
                <w:color w:val="64748B"/>
                <w:sz w:val="20"/>
              </w:rPr>
              <w:t>19</w:t>
            </w:r>
          </w:p>
        </w:tc>
      </w:tr>
      <w:tr>
        <w:tc>
          <w:tcPr>
            <w:tcW w:type="dxa" w:w="7920"/>
            <w:tcMar>
              <w:top w:w="30" w:type="dxa"/>
              <w:bottom w:w="30" w:type="dxa"/>
              <w:left w:w="40" w:type="dxa"/>
              <w:right w:w="40" w:type="dxa"/>
            </w:tcMar>
          </w:tcPr>
          <w:p>
            <w:r>
              <w:rPr>
                <w:color w:val="475569"/>
                <w:sz w:val="20"/>
              </w:rPr>
              <w:t xml:space="preserve">    8.2  In-Depth Analysis of the Curriculum Transfer Gap</w:t>
            </w:r>
          </w:p>
        </w:tc>
        <w:tc>
          <w:tcPr>
            <w:tcW w:type="dxa" w:w="1152"/>
            <w:tcMar>
              <w:top w:w="30" w:type="dxa"/>
              <w:bottom w:w="30" w:type="dxa"/>
              <w:left w:w="40" w:type="dxa"/>
              <w:right w:w="40" w:type="dxa"/>
            </w:tcMar>
          </w:tcPr>
          <w:p>
            <w:pPr>
              <w:jc w:val="right"/>
            </w:pPr>
            <w:r>
              <w:rPr>
                <w:color w:val="64748B"/>
                <w:sz w:val="20"/>
              </w:rPr>
              <w:t>20</w:t>
            </w:r>
          </w:p>
        </w:tc>
      </w:tr>
      <w:tr>
        <w:tc>
          <w:tcPr>
            <w:tcW w:type="dxa" w:w="7920"/>
            <w:tcMar>
              <w:top w:w="30" w:type="dxa"/>
              <w:bottom w:w="30" w:type="dxa"/>
              <w:left w:w="40" w:type="dxa"/>
              <w:right w:w="40" w:type="dxa"/>
            </w:tcMar>
          </w:tcPr>
          <w:p>
            <w:r>
              <w:rPr>
                <w:color w:val="475569"/>
                <w:sz w:val="20"/>
              </w:rPr>
              <w:t xml:space="preserve">    8.3  Subspace Overlap Dynamics &amp; Geometric Alignment</w:t>
            </w:r>
          </w:p>
        </w:tc>
        <w:tc>
          <w:tcPr>
            <w:tcW w:type="dxa" w:w="1152"/>
            <w:tcMar>
              <w:top w:w="30" w:type="dxa"/>
              <w:bottom w:w="30" w:type="dxa"/>
              <w:left w:w="40" w:type="dxa"/>
              <w:right w:w="40" w:type="dxa"/>
            </w:tcMar>
          </w:tcPr>
          <w:p>
            <w:pPr>
              <w:jc w:val="right"/>
            </w:pPr>
            <w:r>
              <w:rPr>
                <w:color w:val="64748B"/>
                <w:sz w:val="20"/>
              </w:rPr>
              <w:t>20</w:t>
            </w:r>
          </w:p>
        </w:tc>
      </w:tr>
      <w:tr>
        <w:tc>
          <w:tcPr>
            <w:tcW w:type="dxa" w:w="7920"/>
            <w:tcMar>
              <w:top w:w="30" w:type="dxa"/>
              <w:bottom w:w="30" w:type="dxa"/>
              <w:left w:w="40" w:type="dxa"/>
              <w:right w:w="40" w:type="dxa"/>
            </w:tcMar>
          </w:tcPr>
          <w:p>
            <w:r>
              <w:rPr>
                <w:b/>
                <w:color w:val="0F172A"/>
                <w:sz w:val="20"/>
              </w:rPr>
              <w:t>9  Timeline / Work Plan</w:t>
            </w:r>
          </w:p>
        </w:tc>
        <w:tc>
          <w:tcPr>
            <w:tcW w:type="dxa" w:w="1152"/>
            <w:tcMar>
              <w:top w:w="30" w:type="dxa"/>
              <w:bottom w:w="30" w:type="dxa"/>
              <w:left w:w="40" w:type="dxa"/>
              <w:right w:w="40" w:type="dxa"/>
            </w:tcMar>
          </w:tcPr>
          <w:p>
            <w:pPr>
              <w:jc w:val="right"/>
            </w:pPr>
            <w:r>
              <w:rPr>
                <w:color w:val="64748B"/>
                <w:sz w:val="20"/>
              </w:rPr>
              <w:t>21</w:t>
            </w:r>
          </w:p>
        </w:tc>
      </w:tr>
      <w:tr>
        <w:tc>
          <w:tcPr>
            <w:tcW w:type="dxa" w:w="7920"/>
            <w:tcMar>
              <w:top w:w="30" w:type="dxa"/>
              <w:bottom w:w="30" w:type="dxa"/>
              <w:left w:w="40" w:type="dxa"/>
              <w:right w:w="40" w:type="dxa"/>
            </w:tcMar>
          </w:tcPr>
          <w:p>
            <w:r>
              <w:rPr>
                <w:b/>
                <w:color w:val="0F172A"/>
                <w:sz w:val="20"/>
              </w:rPr>
              <w:t>10 Limitations and Threats to Validity</w:t>
            </w:r>
          </w:p>
        </w:tc>
        <w:tc>
          <w:tcPr>
            <w:tcW w:type="dxa" w:w="1152"/>
            <w:tcMar>
              <w:top w:w="30" w:type="dxa"/>
              <w:bottom w:w="30" w:type="dxa"/>
              <w:left w:w="40" w:type="dxa"/>
              <w:right w:w="40" w:type="dxa"/>
            </w:tcMar>
          </w:tcPr>
          <w:p>
            <w:pPr>
              <w:jc w:val="right"/>
            </w:pPr>
            <w:r>
              <w:rPr>
                <w:color w:val="64748B"/>
                <w:sz w:val="20"/>
              </w:rPr>
              <w:t>22</w:t>
            </w:r>
          </w:p>
        </w:tc>
      </w:tr>
      <w:tr>
        <w:tc>
          <w:tcPr>
            <w:tcW w:type="dxa" w:w="7920"/>
            <w:tcMar>
              <w:top w:w="30" w:type="dxa"/>
              <w:bottom w:w="30" w:type="dxa"/>
              <w:left w:w="40" w:type="dxa"/>
              <w:right w:w="40" w:type="dxa"/>
            </w:tcMar>
          </w:tcPr>
          <w:p>
            <w:r>
              <w:rPr>
                <w:b/>
                <w:color w:val="0F172A"/>
                <w:sz w:val="20"/>
              </w:rPr>
              <w:t>11 Conclusion</w:t>
            </w:r>
          </w:p>
        </w:tc>
        <w:tc>
          <w:tcPr>
            <w:tcW w:type="dxa" w:w="1152"/>
            <w:tcMar>
              <w:top w:w="30" w:type="dxa"/>
              <w:bottom w:w="30" w:type="dxa"/>
              <w:left w:w="40" w:type="dxa"/>
              <w:right w:w="40" w:type="dxa"/>
            </w:tcMar>
          </w:tcPr>
          <w:p>
            <w:pPr>
              <w:jc w:val="right"/>
            </w:pPr>
            <w:r>
              <w:rPr>
                <w:color w:val="64748B"/>
                <w:sz w:val="20"/>
              </w:rPr>
              <w:t>23</w:t>
            </w:r>
          </w:p>
        </w:tc>
      </w:tr>
      <w:tr>
        <w:tc>
          <w:tcPr>
            <w:tcW w:type="dxa" w:w="7920"/>
            <w:tcMar>
              <w:top w:w="30" w:type="dxa"/>
              <w:bottom w:w="30" w:type="dxa"/>
              <w:left w:w="40" w:type="dxa"/>
              <w:right w:w="40" w:type="dxa"/>
            </w:tcMar>
          </w:tcPr>
          <w:p>
            <w:r>
              <w:rPr>
                <w:b/>
                <w:color w:val="0F172A"/>
                <w:sz w:val="20"/>
              </w:rPr>
              <w:t>Bibliography / References</w:t>
            </w:r>
          </w:p>
        </w:tc>
        <w:tc>
          <w:tcPr>
            <w:tcW w:type="dxa" w:w="1152"/>
            <w:tcMar>
              <w:top w:w="30" w:type="dxa"/>
              <w:bottom w:w="30" w:type="dxa"/>
              <w:left w:w="40" w:type="dxa"/>
              <w:right w:w="40" w:type="dxa"/>
            </w:tcMar>
          </w:tcPr>
          <w:p>
            <w:pPr>
              <w:jc w:val="right"/>
            </w:pPr>
            <w:r>
              <w:rPr>
                <w:color w:val="64748B"/>
                <w:sz w:val="20"/>
              </w:rPr>
              <w:t>24</w:t>
            </w:r>
          </w:p>
        </w:tc>
      </w:tr>
    </w:tbl>
    <w:p>
      <w:r>
        <w:br w:type="page"/>
      </w:r>
    </w:p>
    <w:p>
      <w:pPr>
        <w:pStyle w:val="Heading1"/>
      </w:pPr>
      <w:r>
        <w:rPr>
          <w:b/>
          <w:color w:val="0F172A"/>
          <w:sz w:val="32"/>
        </w:rPr>
        <w:t>Abstract</w:t>
      </w:r>
    </w:p>
    <w:p>
      <w:r>
        <w:t>Large Language Models (LLMs) deployed in open-world production environments require continuous updates to assimilate new factual discoveries, evolving legal frameworks, and real-time world events. However, sequential fine-tuning induces catastrophic forgetting, where newly integrated information severely degrades historical capabilities. Parameter-Efficient Fine-Tuning (PEFT) methods—specifically Subspace-Orthogonal Low-Rank Adaptation (O-LoRA) and Reduced Interference LoRA (LoRI)—have demonstrated strong empirical retention by constraining weight updates to orthogonal or sparsified parameter subspaces. Crucially, however, all prior evaluations in the literature operate under a fundamental and unexamined assumption: they strictly evaluate models on static, human-planned task curricula.</w:t>
      </w:r>
    </w:p>
    <w:p>
      <w:r>
        <w:t>This project presents SEAL (Self-Edit Aware Learning), establishing the first comprehensive empirical investigation of parameter-efficient continual learning under autonomous, model-directed curricula. In an autonomous self-editing regime, the LLM dynamically generates its own synthetic training data from external passages and decides which topic to acquire next. Evaluating across 19 verified post-2024 factual updates using Qwen2.5-1.5B-Instruct on an NVIDIA RTX 4500 Ada GPU (24GB VRAM), we demonstrate: (1) Unconstrained self-editing undergoes catastrophic collapse (0.0000 retention accuracy); (2) O-LoRA mitigates forgetting under self-directed curricula (+7.89% over baseline), but exposes an acute 7.90% Curriculum Transfer Gap compared to human-planned ordering (15.79%); (3) Sparse random projection methods (LoRI) completely eliminate this gap, achieving state-of-the-art retention (18.42%). Qualitative inspection reveals that LLMs exhibit semantic topic clustering during autonomous self-selection, inducing collinear gradient bursts that overwhelm soft Frobenius Gram regularizers. Finally, we formulate a multi-layered cryptographic watermarking protocol to safeguard continual learning adapter intellectual property.</w:t>
      </w:r>
    </w:p>
    <w:p>
      <w:r>
        <w:rPr>
          <w:b/>
          <w:color w:val="1E3A8A"/>
        </w:rPr>
        <w:t xml:space="preserve">Keywords: </w:t>
      </w:r>
      <w:r>
        <w:t>Continual Learning, Catastrophic Forgetting, Low-Rank Adaptation (LoRA), O-LoRA, LoRI, Autonomous Self-Editing Language Models, Curriculum Learning, Curriculum Transfer Gap, Subspace Orthogonality, Intellectual Property Protection.</w:t>
      </w:r>
    </w:p>
    <w:p>
      <w:r>
        <w:br w:type="page"/>
      </w:r>
    </w:p>
    <w:p>
      <w:pPr>
        <w:pStyle w:val="Heading1"/>
      </w:pPr>
      <w:r>
        <w:rPr>
          <w:color w:val="0F172A"/>
        </w:rPr>
        <w:t>1. Introduction</w:t>
      </w:r>
    </w:p>
    <w:p>
      <w:pPr>
        <w:pStyle w:val="Heading2"/>
      </w:pPr>
      <w:r>
        <w:rPr>
          <w:color w:val="1E3A8A"/>
        </w:rPr>
        <w:t>1.1 Background</w:t>
      </w:r>
    </w:p>
    <w:p>
      <w:r>
        <w:t>Foundation Large Language Models (LLMs) have achieved remarkable reasoning and generation capabilities across domain benchmarks. However, real-world deployments require these models to continuously ingest temporal facts, scientific discoveries, and organizational updates. In connectionist neural architectures, sequential gradient updates on non-stationary data streams overwrite previously optimized synaptic weights, causing catastrophic forgetting [1]. Traditional mitigations such as experience replay [2] interleave historical data during fine-tuning, but scaling this to multi-billion parameter LLMs incurs prohibitive computational overhead, memory bottlenecks, and severe data privacy violations.</w:t>
      </w:r>
    </w:p>
    <w:p>
      <w:pPr>
        <w:pStyle w:val="Heading2"/>
      </w:pPr>
      <w:r>
        <w:rPr>
          <w:color w:val="1E3A8A"/>
        </w:rPr>
        <w:t>1.2 Motivation</w:t>
      </w:r>
    </w:p>
    <w:p>
      <w:r>
        <w:t>To achieve scalable adaptation, Parameter-Efficient Fine-Tuning (PEFT) techniques like Low-Rank Adaptation (LoRA) [4] freeze the pre-trained base weights and train compact low-rank decomposition matrices. To prevent cross-task interference in continual learning, geometric regularization techniques have been developed: Subspace-Orthogonal LoRA (O-LoRA) [5] penalizes the Frobenius norm of cross-adapter Gram matrices, while Reduced Interference LoRA (LoRI) [6] utilizes sparse random projections to structurally isolate updates. Simultaneously, autonomous agent architectures—such as Self-Editing Language Models (SEAL) [7]—have emerged, allowing models to read unstructured text, synthesize question-answer training pairs, and autonomously update their own weights without human intervention.</w:t>
      </w:r>
    </w:p>
    <w:p>
      <w:pPr>
        <w:pStyle w:val="Heading2"/>
      </w:pPr>
      <w:r>
        <w:rPr>
          <w:color w:val="1E3A8A"/>
        </w:rPr>
        <w:t>1.3 Problem Statement</w:t>
      </w:r>
    </w:p>
    <w:p>
      <w:r>
        <w:t>Despite seminal progress in continual learning, every existing PEFT continual learning benchmark assumes static, human-curated, and uniformly dispersed task sequences. This assumption is fundamentally violated in autonomous self-editing systems, where the model autonomously selects its knowledge acquisition sequence. It remains unproven whether subspace orthogonality and sparsity protections survive when curriculum control shifts from human researchers to autonomous model agency. There is currently no unified framework that quantifies the performance degradation induced by model-directed curricula or provides robust intellectual property safeguards for the resulting continually edited adapters.</w:t>
      </w:r>
    </w:p>
    <w:p>
      <w:pPr>
        <w:pStyle w:val="Heading2"/>
      </w:pPr>
      <w:r>
        <w:rPr>
          <w:color w:val="1E3A8A"/>
        </w:rPr>
        <w:t>1.4 Scope of the Project</w:t>
      </w:r>
    </w:p>
    <w:p>
      <w:r>
        <w:rPr>
          <w:b/>
        </w:rPr>
        <w:t>This project scopes the design, mathematical formulation, empirical benchmarking, and IP protection of SEAL:</w:t>
      </w:r>
    </w:p>
    <w:p>
      <w:pPr>
        <w:pStyle w:val="ListBullet"/>
      </w:pPr>
      <w:r>
        <w:t>Curation of 19 strictly post-2024 verified factual updates with 0% baseline pre-training contamination on Qwen2.5-1.5B-Instruct.</w:t>
      </w:r>
    </w:p>
    <w:p>
      <w:pPr>
        <w:pStyle w:val="ListBullet"/>
      </w:pPr>
      <w:r>
        <w:t>Formulation and quantification of the Curriculum Transfer Gap (CTG) comparing human-planned vs. model-directed curricula.</w:t>
      </w:r>
    </w:p>
    <w:p>
      <w:pPr>
        <w:pStyle w:val="ListBullet"/>
      </w:pPr>
      <w:r>
        <w:t>Implementation and benchmarking of four controlled architectures: Vanilla LoRA (C2), O-LoRA Planned (C3), O-LoRA Self-Gen (C4), and LoRI Self-Gen (C5).</w:t>
      </w:r>
    </w:p>
    <w:p>
      <w:pPr>
        <w:pStyle w:val="ListBullet"/>
      </w:pPr>
      <w:r>
        <w:t>Empirical tracking of exact-match QA retention matrices, cumulative orthogonality penalties, and Frobenius subspace overlap trajectories on an NVIDIA RTX 4500 Ada GPU.</w:t>
      </w:r>
    </w:p>
    <w:p>
      <w:pPr>
        <w:pStyle w:val="ListBullet"/>
      </w:pPr>
      <w:r>
        <w:t>Design of a 5-layer cryptographic watermarking and anti-distillation protection pipeline for continually edited adapters.</w:t>
      </w:r>
    </w:p>
    <w:p>
      <w:pPr>
        <w:pStyle w:val="Heading1"/>
      </w:pPr>
      <w:r>
        <w:rPr>
          <w:color w:val="0F172A"/>
        </w:rPr>
        <w:t>2. Literature Survey</w:t>
      </w:r>
    </w:p>
    <w:p>
      <w:pPr>
        <w:pStyle w:val="Heading2"/>
      </w:pPr>
      <w:r>
        <w:rPr>
          <w:color w:val="1E3A8A"/>
        </w:rPr>
        <w:t>2.1 Catastrophic Forgetting and Continual Learning Foundations</w:t>
      </w:r>
    </w:p>
    <w:p>
      <w:r>
        <w:t>McCloskey and Cohen [1] established that connectionist networks suffer from catastrophic interference when exposed to sequential tasks. Rolnick et al. [2] proposed experience replay mechanisms that maintain memory buffers, though memory footprints scale linearly with task volume. Wang et al. [3] introduced DualPrompt, utilizing complementary general and task-specific prompts to decouple learning, though prompt pools lack the representational capacity required for dense factual memorization.</w:t>
      </w:r>
    </w:p>
    <w:p>
      <w:pPr>
        <w:pStyle w:val="Heading2"/>
      </w:pPr>
      <w:r>
        <w:rPr>
          <w:color w:val="1E3A8A"/>
        </w:rPr>
        <w:t>2.2 Parameter-Efficient Fine-Tuning (PEFT) and Low-Rank Adaptation</w:t>
      </w:r>
    </w:p>
    <w:p>
      <w:r>
        <w:t>Hu et al. [4] introduced Low-Rank Adaptation (LoRA), decomposing weight updates into low-rank matrices W = W_0 + (alpha/r)BA. Dettmers et al. [8] proposed QLoRA, integrating 4-bit NormalFloat quantization with double quantization. However, naive sequential LoRA fine-tuning continues to overwrite past parameters, resulting in total catastrophic collapse in continual learning regimes.</w:t>
      </w:r>
    </w:p>
    <w:p>
      <w:pPr>
        <w:pStyle w:val="Heading2"/>
      </w:pPr>
      <w:r>
        <w:rPr>
          <w:color w:val="1E3A8A"/>
        </w:rPr>
        <w:t>2.3 Subspace Orthogonality and Manifold Regularization (O-LoRA, OPLoRA, OLieRA)</w:t>
      </w:r>
    </w:p>
    <w:p>
      <w:r>
        <w:t>Wang et al. [5] proposed O-LoRA, enforcing soft Frobenius-norm Gram penalties to push new adapter projections into the null space of prior tasks. Zhao et al. [9] developed OPLoRA, computing exact SVD decompositions of base weights to project updates onto orthogonal complements. Wei et al. [10] formulated OLieRA, substituting additive updates with multiplicative exponential maps over Lie groups to preserve Riemannian representation manifolds.</w:t>
      </w:r>
    </w:p>
    <w:p>
      <w:pPr>
        <w:pStyle w:val="Heading2"/>
      </w:pPr>
      <w:r>
        <w:rPr>
          <w:color w:val="1E3A8A"/>
        </w:rPr>
        <w:t>2.4 Sparse Projections and Task-Free Continual Learning (LoRI)</w:t>
      </w:r>
    </w:p>
    <w:p>
      <w:r>
        <w:t>Chen et al. [6] introduced LoRI (Reduced Interference LoRA), freezing the first projection matrix A as a sparse Gaussian random matrix and applying top-k gradient magnitude masking on B. Under the Johnson-Lindenstrauss lemma, sparse random projections achieve near-orthogonal task allocation without penalty computation. Wei et al. [11] developed Online-LoRA for task-free streaming via loss-plateau tracking and Fisher regularizers.</w:t>
      </w:r>
    </w:p>
    <w:p>
      <w:pPr>
        <w:pStyle w:val="Heading2"/>
      </w:pPr>
      <w:r>
        <w:rPr>
          <w:color w:val="1E3A8A"/>
        </w:rPr>
        <w:t>2.5 Autonomous Self-Editing Language Models (SEAL)</w:t>
      </w:r>
    </w:p>
    <w:p>
      <w:r>
        <w:t>Hernandez et al. [7] introduced SEAL (Self-Editing Language Models), validating that LLMs can generate their own synthetic QA pairs from raw text and self-update internal parameters. However, SEAL evaluated only single-step edits and did not investigate sequential continual learning stability or the parameter interference caused by model-directed topic ordering.</w:t>
      </w:r>
    </w:p>
    <w:p>
      <w:pPr>
        <w:pStyle w:val="Heading2"/>
      </w:pPr>
      <w:r>
        <w:rPr>
          <w:color w:val="1E3A8A"/>
        </w:rPr>
        <w:t>2.6 Comparative Analysis of Prior Art</w:t>
      </w:r>
    </w:p>
    <w:p>
      <w:r>
        <w:rPr>
          <w:b/>
          <w:sz w:val="20"/>
        </w:rPr>
        <w:t>Table 2.1: Systematic Literature Comparison Across PEFT Continual Learning Approaches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E3A8A"/>
            <w:tcMar>
              <w:top w:w="100" w:type="dxa"/>
              <w:bottom w:w="100" w:type="dxa"/>
              <w:left w:w="100" w:type="dxa"/>
              <w:right w:w="100" w:type="dxa"/>
            </w:tcMar>
          </w:tcPr>
          <w:p>
            <w:r>
              <w:rPr>
                <w:b/>
                <w:color w:val="FFFFFF"/>
                <w:sz w:val="18"/>
              </w:rPr>
              <w:t>Method / Paper</w:t>
            </w:r>
          </w:p>
        </w:tc>
        <w:tc>
          <w:tcPr>
            <w:tcW w:type="dxa" w:w="1872"/>
            <w:shd w:fill="1E3A8A"/>
            <w:tcMar>
              <w:top w:w="100" w:type="dxa"/>
              <w:bottom w:w="100" w:type="dxa"/>
              <w:left w:w="100" w:type="dxa"/>
              <w:right w:w="100" w:type="dxa"/>
            </w:tcMar>
          </w:tcPr>
          <w:p>
            <w:r>
              <w:rPr>
                <w:b/>
                <w:color w:val="FFFFFF"/>
                <w:sz w:val="18"/>
              </w:rPr>
              <w:t>Venue / Year</w:t>
            </w:r>
          </w:p>
        </w:tc>
        <w:tc>
          <w:tcPr>
            <w:tcW w:type="dxa" w:w="1872"/>
            <w:shd w:fill="1E3A8A"/>
            <w:tcMar>
              <w:top w:w="100" w:type="dxa"/>
              <w:bottom w:w="100" w:type="dxa"/>
              <w:left w:w="100" w:type="dxa"/>
              <w:right w:w="100" w:type="dxa"/>
            </w:tcMar>
          </w:tcPr>
          <w:p>
            <w:r>
              <w:rPr>
                <w:b/>
                <w:color w:val="FFFFFF"/>
                <w:sz w:val="18"/>
              </w:rPr>
              <w:t>Orthogonality Mechanism</w:t>
            </w:r>
          </w:p>
        </w:tc>
        <w:tc>
          <w:tcPr>
            <w:tcW w:type="dxa" w:w="1872"/>
            <w:shd w:fill="1E3A8A"/>
            <w:tcMar>
              <w:top w:w="100" w:type="dxa"/>
              <w:bottom w:w="100" w:type="dxa"/>
              <w:left w:w="100" w:type="dxa"/>
              <w:right w:w="100" w:type="dxa"/>
            </w:tcMar>
          </w:tcPr>
          <w:p>
            <w:r>
              <w:rPr>
                <w:b/>
                <w:color w:val="FFFFFF"/>
                <w:sz w:val="18"/>
              </w:rPr>
              <w:t>Sparsity &amp; Rank</w:t>
            </w:r>
          </w:p>
        </w:tc>
        <w:tc>
          <w:tcPr>
            <w:tcW w:type="dxa" w:w="1872"/>
            <w:shd w:fill="1E3A8A"/>
            <w:tcMar>
              <w:top w:w="100" w:type="dxa"/>
              <w:bottom w:w="100" w:type="dxa"/>
              <w:left w:w="100" w:type="dxa"/>
              <w:right w:w="100" w:type="dxa"/>
            </w:tcMar>
          </w:tcPr>
          <w:p>
            <w:r>
              <w:rPr>
                <w:b/>
                <w:color w:val="FFFFFF"/>
                <w:sz w:val="18"/>
              </w:rPr>
              <w:t>Curriculum Type</w:t>
            </w:r>
          </w:p>
        </w:tc>
      </w:tr>
      <w:tr>
        <w:tc>
          <w:tcPr>
            <w:tcW w:type="dxa" w:w="1872"/>
            <w:shd w:fill="F8FAFC"/>
            <w:tcMar>
              <w:top w:w="80" w:type="dxa"/>
              <w:bottom w:w="80" w:type="dxa"/>
              <w:left w:w="100" w:type="dxa"/>
              <w:right w:w="100" w:type="dxa"/>
            </w:tcMar>
          </w:tcPr>
          <w:p>
            <w:r>
              <w:rPr>
                <w:sz w:val="17"/>
              </w:rPr>
              <w:t>O-LoRA (Wang et al.) [5]</w:t>
            </w:r>
          </w:p>
        </w:tc>
        <w:tc>
          <w:tcPr>
            <w:tcW w:type="dxa" w:w="1872"/>
            <w:shd w:fill="F8FAFC"/>
            <w:tcMar>
              <w:top w:w="80" w:type="dxa"/>
              <w:bottom w:w="80" w:type="dxa"/>
              <w:left w:w="100" w:type="dxa"/>
              <w:right w:w="100" w:type="dxa"/>
            </w:tcMar>
          </w:tcPr>
          <w:p>
            <w:r>
              <w:rPr>
                <w:sz w:val="17"/>
              </w:rPr>
              <w:t>EMNLP 2023</w:t>
            </w:r>
          </w:p>
        </w:tc>
        <w:tc>
          <w:tcPr>
            <w:tcW w:type="dxa" w:w="1872"/>
            <w:shd w:fill="F8FAFC"/>
            <w:tcMar>
              <w:top w:w="80" w:type="dxa"/>
              <w:bottom w:w="80" w:type="dxa"/>
              <w:left w:w="100" w:type="dxa"/>
              <w:right w:w="100" w:type="dxa"/>
            </w:tcMar>
          </w:tcPr>
          <w:p>
            <w:r>
              <w:rPr>
                <w:sz w:val="17"/>
              </w:rPr>
              <w:t>Soft Frobenius Gram Penalty</w:t>
            </w:r>
          </w:p>
        </w:tc>
        <w:tc>
          <w:tcPr>
            <w:tcW w:type="dxa" w:w="1872"/>
            <w:shd w:fill="F8FAFC"/>
            <w:tcMar>
              <w:top w:w="80" w:type="dxa"/>
              <w:bottom w:w="80" w:type="dxa"/>
              <w:left w:w="100" w:type="dxa"/>
              <w:right w:w="100" w:type="dxa"/>
            </w:tcMar>
          </w:tcPr>
          <w:p>
            <w:r>
              <w:rPr>
                <w:sz w:val="17"/>
              </w:rPr>
              <w:t>Dense (r=8, alpha=16)</w:t>
            </w:r>
          </w:p>
        </w:tc>
        <w:tc>
          <w:tcPr>
            <w:tcW w:type="dxa" w:w="1872"/>
            <w:shd w:fill="F8FAFC"/>
            <w:tcMar>
              <w:top w:w="80" w:type="dxa"/>
              <w:bottom w:w="80" w:type="dxa"/>
              <w:left w:w="100" w:type="dxa"/>
              <w:right w:w="100" w:type="dxa"/>
            </w:tcMar>
          </w:tcPr>
          <w:p>
            <w:r>
              <w:rPr>
                <w:sz w:val="17"/>
              </w:rPr>
              <w:t>Human-Curated (Static)</w:t>
            </w:r>
          </w:p>
        </w:tc>
      </w:tr>
      <w:tr>
        <w:tc>
          <w:tcPr>
            <w:tcW w:type="dxa" w:w="1872"/>
            <w:shd w:fill="FFFFFF"/>
            <w:tcMar>
              <w:top w:w="80" w:type="dxa"/>
              <w:bottom w:w="80" w:type="dxa"/>
              <w:left w:w="100" w:type="dxa"/>
              <w:right w:w="100" w:type="dxa"/>
            </w:tcMar>
          </w:tcPr>
          <w:p>
            <w:r>
              <w:rPr>
                <w:sz w:val="17"/>
              </w:rPr>
              <w:t>LoRI (Chen et al.) [6]</w:t>
            </w:r>
          </w:p>
        </w:tc>
        <w:tc>
          <w:tcPr>
            <w:tcW w:type="dxa" w:w="1872"/>
            <w:shd w:fill="FFFFFF"/>
            <w:tcMar>
              <w:top w:w="80" w:type="dxa"/>
              <w:bottom w:w="80" w:type="dxa"/>
              <w:left w:w="100" w:type="dxa"/>
              <w:right w:w="100" w:type="dxa"/>
            </w:tcMar>
          </w:tcPr>
          <w:p>
            <w:r>
              <w:rPr>
                <w:sz w:val="17"/>
              </w:rPr>
              <w:t>arXiv 2025</w:t>
            </w:r>
          </w:p>
        </w:tc>
        <w:tc>
          <w:tcPr>
            <w:tcW w:type="dxa" w:w="1872"/>
            <w:shd w:fill="FFFFFF"/>
            <w:tcMar>
              <w:top w:w="80" w:type="dxa"/>
              <w:bottom w:w="80" w:type="dxa"/>
              <w:left w:w="100" w:type="dxa"/>
              <w:right w:w="100" w:type="dxa"/>
            </w:tcMar>
          </w:tcPr>
          <w:p>
            <w:r>
              <w:rPr>
                <w:sz w:val="17"/>
              </w:rPr>
              <w:t>Random Projection Subspace</w:t>
            </w:r>
          </w:p>
        </w:tc>
        <w:tc>
          <w:tcPr>
            <w:tcW w:type="dxa" w:w="1872"/>
            <w:shd w:fill="FFFFFF"/>
            <w:tcMar>
              <w:top w:w="80" w:type="dxa"/>
              <w:bottom w:w="80" w:type="dxa"/>
              <w:left w:w="100" w:type="dxa"/>
              <w:right w:w="100" w:type="dxa"/>
            </w:tcMar>
          </w:tcPr>
          <w:p>
            <w:r>
              <w:rPr>
                <w:sz w:val="17"/>
              </w:rPr>
              <w:t>High Sparsity (80%-95%)</w:t>
            </w:r>
          </w:p>
        </w:tc>
        <w:tc>
          <w:tcPr>
            <w:tcW w:type="dxa" w:w="1872"/>
            <w:shd w:fill="FFFFFF"/>
            <w:tcMar>
              <w:top w:w="80" w:type="dxa"/>
              <w:bottom w:w="80" w:type="dxa"/>
              <w:left w:w="100" w:type="dxa"/>
              <w:right w:w="100" w:type="dxa"/>
            </w:tcMar>
          </w:tcPr>
          <w:p>
            <w:r>
              <w:rPr>
                <w:sz w:val="17"/>
              </w:rPr>
              <w:t>Human-Curated (Static)</w:t>
            </w:r>
          </w:p>
        </w:tc>
      </w:tr>
      <w:tr>
        <w:tc>
          <w:tcPr>
            <w:tcW w:type="dxa" w:w="1872"/>
            <w:shd w:fill="F8FAFC"/>
            <w:tcMar>
              <w:top w:w="80" w:type="dxa"/>
              <w:bottom w:w="80" w:type="dxa"/>
              <w:left w:w="100" w:type="dxa"/>
              <w:right w:w="100" w:type="dxa"/>
            </w:tcMar>
          </w:tcPr>
          <w:p>
            <w:r>
              <w:rPr>
                <w:sz w:val="17"/>
              </w:rPr>
              <w:t>OPLoRA (Zhao et al.) [9]</w:t>
            </w:r>
          </w:p>
        </w:tc>
        <w:tc>
          <w:tcPr>
            <w:tcW w:type="dxa" w:w="1872"/>
            <w:shd w:fill="F8FAFC"/>
            <w:tcMar>
              <w:top w:w="80" w:type="dxa"/>
              <w:bottom w:w="80" w:type="dxa"/>
              <w:left w:w="100" w:type="dxa"/>
              <w:right w:w="100" w:type="dxa"/>
            </w:tcMar>
          </w:tcPr>
          <w:p>
            <w:r>
              <w:rPr>
                <w:sz w:val="17"/>
              </w:rPr>
              <w:t>arXiv 2025</w:t>
            </w:r>
          </w:p>
        </w:tc>
        <w:tc>
          <w:tcPr>
            <w:tcW w:type="dxa" w:w="1872"/>
            <w:shd w:fill="F8FAFC"/>
            <w:tcMar>
              <w:top w:w="80" w:type="dxa"/>
              <w:bottom w:w="80" w:type="dxa"/>
              <w:left w:w="100" w:type="dxa"/>
              <w:right w:w="100" w:type="dxa"/>
            </w:tcMar>
          </w:tcPr>
          <w:p>
            <w:r>
              <w:rPr>
                <w:sz w:val="17"/>
              </w:rPr>
              <w:t>Hard SVD Null-Space Projector</w:t>
            </w:r>
          </w:p>
        </w:tc>
        <w:tc>
          <w:tcPr>
            <w:tcW w:type="dxa" w:w="1872"/>
            <w:shd w:fill="F8FAFC"/>
            <w:tcMar>
              <w:top w:w="80" w:type="dxa"/>
              <w:bottom w:w="80" w:type="dxa"/>
              <w:left w:w="100" w:type="dxa"/>
              <w:right w:w="100" w:type="dxa"/>
            </w:tcMar>
          </w:tcPr>
          <w:p>
            <w:r>
              <w:rPr>
                <w:sz w:val="17"/>
              </w:rPr>
              <w:t>Dense (Full Rank)</w:t>
            </w:r>
          </w:p>
        </w:tc>
        <w:tc>
          <w:tcPr>
            <w:tcW w:type="dxa" w:w="1872"/>
            <w:shd w:fill="F8FAFC"/>
            <w:tcMar>
              <w:top w:w="80" w:type="dxa"/>
              <w:bottom w:w="80" w:type="dxa"/>
              <w:left w:w="100" w:type="dxa"/>
              <w:right w:w="100" w:type="dxa"/>
            </w:tcMar>
          </w:tcPr>
          <w:p>
            <w:r>
              <w:rPr>
                <w:sz w:val="17"/>
              </w:rPr>
              <w:t>Human-Curated (Static)</w:t>
            </w:r>
          </w:p>
        </w:tc>
      </w:tr>
      <w:tr>
        <w:tc>
          <w:tcPr>
            <w:tcW w:type="dxa" w:w="1872"/>
            <w:shd w:fill="FFFFFF"/>
            <w:tcMar>
              <w:top w:w="80" w:type="dxa"/>
              <w:bottom w:w="80" w:type="dxa"/>
              <w:left w:w="100" w:type="dxa"/>
              <w:right w:w="100" w:type="dxa"/>
            </w:tcMar>
          </w:tcPr>
          <w:p>
            <w:r>
              <w:rPr>
                <w:sz w:val="17"/>
              </w:rPr>
              <w:t>OLieRA (Wei et al.) [10]</w:t>
            </w:r>
          </w:p>
        </w:tc>
        <w:tc>
          <w:tcPr>
            <w:tcW w:type="dxa" w:w="1872"/>
            <w:shd w:fill="FFFFFF"/>
            <w:tcMar>
              <w:top w:w="80" w:type="dxa"/>
              <w:bottom w:w="80" w:type="dxa"/>
              <w:left w:w="100" w:type="dxa"/>
              <w:right w:w="100" w:type="dxa"/>
            </w:tcMar>
          </w:tcPr>
          <w:p>
            <w:r>
              <w:rPr>
                <w:sz w:val="17"/>
              </w:rPr>
              <w:t>arXiv 2025</w:t>
            </w:r>
          </w:p>
        </w:tc>
        <w:tc>
          <w:tcPr>
            <w:tcW w:type="dxa" w:w="1872"/>
            <w:shd w:fill="FFFFFF"/>
            <w:tcMar>
              <w:top w:w="80" w:type="dxa"/>
              <w:bottom w:w="80" w:type="dxa"/>
              <w:left w:w="100" w:type="dxa"/>
              <w:right w:w="100" w:type="dxa"/>
            </w:tcMar>
          </w:tcPr>
          <w:p>
            <w:r>
              <w:rPr>
                <w:sz w:val="17"/>
              </w:rPr>
              <w:t>Lie-Group Multiplicative Map</w:t>
            </w:r>
          </w:p>
        </w:tc>
        <w:tc>
          <w:tcPr>
            <w:tcW w:type="dxa" w:w="1872"/>
            <w:shd w:fill="FFFFFF"/>
            <w:tcMar>
              <w:top w:w="80" w:type="dxa"/>
              <w:bottom w:w="80" w:type="dxa"/>
              <w:left w:w="100" w:type="dxa"/>
              <w:right w:w="100" w:type="dxa"/>
            </w:tcMar>
          </w:tcPr>
          <w:p>
            <w:r>
              <w:rPr>
                <w:sz w:val="17"/>
              </w:rPr>
              <w:t>Dense Manifold</w:t>
            </w:r>
          </w:p>
        </w:tc>
        <w:tc>
          <w:tcPr>
            <w:tcW w:type="dxa" w:w="1872"/>
            <w:shd w:fill="FFFFFF"/>
            <w:tcMar>
              <w:top w:w="80" w:type="dxa"/>
              <w:bottom w:w="80" w:type="dxa"/>
              <w:left w:w="100" w:type="dxa"/>
              <w:right w:w="100" w:type="dxa"/>
            </w:tcMar>
          </w:tcPr>
          <w:p>
            <w:r>
              <w:rPr>
                <w:sz w:val="17"/>
              </w:rPr>
              <w:t>Human-Curated (Static)</w:t>
            </w:r>
          </w:p>
        </w:tc>
      </w:tr>
      <w:tr>
        <w:tc>
          <w:tcPr>
            <w:tcW w:type="dxa" w:w="1872"/>
            <w:shd w:fill="F8FAFC"/>
            <w:tcMar>
              <w:top w:w="80" w:type="dxa"/>
              <w:bottom w:w="80" w:type="dxa"/>
              <w:left w:w="100" w:type="dxa"/>
              <w:right w:w="100" w:type="dxa"/>
            </w:tcMar>
          </w:tcPr>
          <w:p>
            <w:r>
              <w:rPr>
                <w:sz w:val="17"/>
              </w:rPr>
              <w:t>Online-LoRA (Wei et al.) [11]</w:t>
            </w:r>
          </w:p>
        </w:tc>
        <w:tc>
          <w:tcPr>
            <w:tcW w:type="dxa" w:w="1872"/>
            <w:shd w:fill="F8FAFC"/>
            <w:tcMar>
              <w:top w:w="80" w:type="dxa"/>
              <w:bottom w:w="80" w:type="dxa"/>
              <w:left w:w="100" w:type="dxa"/>
              <w:right w:w="100" w:type="dxa"/>
            </w:tcMar>
          </w:tcPr>
          <w:p>
            <w:r>
              <w:rPr>
                <w:sz w:val="17"/>
              </w:rPr>
              <w:t>WACV 2025</w:t>
            </w:r>
          </w:p>
        </w:tc>
        <w:tc>
          <w:tcPr>
            <w:tcW w:type="dxa" w:w="1872"/>
            <w:shd w:fill="F8FAFC"/>
            <w:tcMar>
              <w:top w:w="80" w:type="dxa"/>
              <w:bottom w:w="80" w:type="dxa"/>
              <w:left w:w="100" w:type="dxa"/>
              <w:right w:w="100" w:type="dxa"/>
            </w:tcMar>
          </w:tcPr>
          <w:p>
            <w:r>
              <w:rPr>
                <w:sz w:val="17"/>
              </w:rPr>
              <w:t>Online Fisher Information Regularizer</w:t>
            </w:r>
          </w:p>
        </w:tc>
        <w:tc>
          <w:tcPr>
            <w:tcW w:type="dxa" w:w="1872"/>
            <w:shd w:fill="F8FAFC"/>
            <w:tcMar>
              <w:top w:w="80" w:type="dxa"/>
              <w:bottom w:w="80" w:type="dxa"/>
              <w:left w:w="100" w:type="dxa"/>
              <w:right w:w="100" w:type="dxa"/>
            </w:tcMar>
          </w:tcPr>
          <w:p>
            <w:r>
              <w:rPr>
                <w:sz w:val="17"/>
              </w:rPr>
              <w:t>Buffer-Based Dense</w:t>
            </w:r>
          </w:p>
        </w:tc>
        <w:tc>
          <w:tcPr>
            <w:tcW w:type="dxa" w:w="1872"/>
            <w:shd w:fill="F8FAFC"/>
            <w:tcMar>
              <w:top w:w="80" w:type="dxa"/>
              <w:bottom w:w="80" w:type="dxa"/>
              <w:left w:w="100" w:type="dxa"/>
              <w:right w:w="100" w:type="dxa"/>
            </w:tcMar>
          </w:tcPr>
          <w:p>
            <w:r>
              <w:rPr>
                <w:sz w:val="17"/>
              </w:rPr>
              <w:t>External Streaming</w:t>
            </w:r>
          </w:p>
        </w:tc>
      </w:tr>
      <w:tr>
        <w:tc>
          <w:tcPr>
            <w:tcW w:type="dxa" w:w="1872"/>
            <w:shd w:fill="FFFFFF"/>
            <w:tcMar>
              <w:top w:w="80" w:type="dxa"/>
              <w:bottom w:w="80" w:type="dxa"/>
              <w:left w:w="100" w:type="dxa"/>
              <w:right w:w="100" w:type="dxa"/>
            </w:tcMar>
          </w:tcPr>
          <w:p>
            <w:r>
              <w:rPr>
                <w:b/>
                <w:color w:val="1E3A8A"/>
                <w:sz w:val="17"/>
              </w:rPr>
              <w:t>SEAL (Our Work)</w:t>
            </w:r>
          </w:p>
        </w:tc>
        <w:tc>
          <w:tcPr>
            <w:tcW w:type="dxa" w:w="1872"/>
            <w:shd w:fill="FFFFFF"/>
            <w:tcMar>
              <w:top w:w="80" w:type="dxa"/>
              <w:bottom w:w="80" w:type="dxa"/>
              <w:left w:w="100" w:type="dxa"/>
              <w:right w:w="100" w:type="dxa"/>
            </w:tcMar>
          </w:tcPr>
          <w:p>
            <w:r>
              <w:rPr>
                <w:sz w:val="17"/>
              </w:rPr>
              <w:t>Current (2026)</w:t>
            </w:r>
          </w:p>
        </w:tc>
        <w:tc>
          <w:tcPr>
            <w:tcW w:type="dxa" w:w="1872"/>
            <w:shd w:fill="FFFFFF"/>
            <w:tcMar>
              <w:top w:w="80" w:type="dxa"/>
              <w:bottom w:w="80" w:type="dxa"/>
              <w:left w:w="100" w:type="dxa"/>
              <w:right w:w="100" w:type="dxa"/>
            </w:tcMar>
          </w:tcPr>
          <w:p>
            <w:r>
              <w:rPr>
                <w:sz w:val="17"/>
              </w:rPr>
              <w:t>Dual Subspace &amp; Sparse Projection</w:t>
            </w:r>
          </w:p>
        </w:tc>
        <w:tc>
          <w:tcPr>
            <w:tcW w:type="dxa" w:w="1872"/>
            <w:shd w:fill="FFFFFF"/>
            <w:tcMar>
              <w:top w:w="80" w:type="dxa"/>
              <w:bottom w:w="80" w:type="dxa"/>
              <w:left w:w="100" w:type="dxa"/>
              <w:right w:w="100" w:type="dxa"/>
            </w:tcMar>
          </w:tcPr>
          <w:p>
            <w:r>
              <w:rPr>
                <w:sz w:val="17"/>
              </w:rPr>
              <w:t>Dense &amp; Sparse (p=0.8)</w:t>
            </w:r>
          </w:p>
        </w:tc>
        <w:tc>
          <w:tcPr>
            <w:tcW w:type="dxa" w:w="1872"/>
            <w:shd w:fill="FFFFFF"/>
            <w:tcMar>
              <w:top w:w="80" w:type="dxa"/>
              <w:bottom w:w="80" w:type="dxa"/>
              <w:left w:w="100" w:type="dxa"/>
              <w:right w:w="100" w:type="dxa"/>
            </w:tcMar>
          </w:tcPr>
          <w:p>
            <w:r>
              <w:rPr>
                <w:sz w:val="17"/>
              </w:rPr>
              <w:t>Autonomous Model-Directed</w:t>
            </w:r>
          </w:p>
        </w:tc>
      </w:tr>
    </w:tbl>
    <w:p>
      <w:pPr>
        <w:pStyle w:val="Heading2"/>
      </w:pPr>
      <w:r>
        <w:rPr>
          <w:color w:val="1E3A8A"/>
        </w:rPr>
        <w:t>2.7 Summary of Research Gap and Hypotheses Formulation</w:t>
      </w:r>
    </w:p>
    <w:p>
      <w:r>
        <w:t>CRITICAL RESEARCH GAP: All existing continual learning defenses rely implicitly on human-curated curriculum dispersion. When an autonomous model selects its own curriculum, it exhibits Semantic Topic Clustering (selecting bursts of semantically related facts), causing localized subspace crowding where gradient vectors become collinear. We formulate three formal hypotheses:</w:t>
      </w:r>
    </w:p>
    <w:p>
      <w:r>
        <w:rPr>
          <w:b/>
          <w:color w:val="0F172A"/>
        </w:rPr>
        <w:t xml:space="preserve">Null Hypothesis (H0): </w:t>
      </w:r>
      <w:r>
        <w:t>Imposing parameter-space orthogonality (O-LoRA) or sparse random projections (LoRI) under autonomous, model-directed curricula yields no statistically significant difference in factual retention compared to unconstrained sequential LoRA fine-tuning.</w:t>
      </w:r>
    </w:p>
    <w:p>
      <w:r>
        <w:rPr>
          <w:b/>
          <w:color w:val="0F172A"/>
        </w:rPr>
        <w:t xml:space="preserve">Alternative Hypothesis 1 (H1_orth): </w:t>
      </w:r>
      <w:r>
        <w:t>Orthogonal subspace regularization (O-LoRA) significantly improves retention over vanilla LoRA, but suffers a measurable Curriculum Transfer Gap when transitioning from human-planned to self-generated curricula due to semantic topic clustering.</w:t>
      </w:r>
    </w:p>
    <w:p>
      <w:r>
        <w:rPr>
          <w:b/>
          <w:color w:val="0F172A"/>
        </w:rPr>
        <w:t xml:space="preserve">Alternative Hypothesis 2 (H1_sparse): </w:t>
      </w:r>
      <w:r>
        <w:t>Frozen sparse random projection (LoRI) structurally decouples task representations, eliminating the Curriculum Transfer Gap and achieving superior factual retention regardless of curriculum burstiness.</w:t>
      </w:r>
    </w:p>
    <w:p>
      <w:pPr>
        <w:pStyle w:val="Heading1"/>
      </w:pPr>
      <w:r>
        <w:rPr>
          <w:color w:val="0F172A"/>
        </w:rPr>
        <w:t>3. Objectives</w:t>
      </w:r>
    </w:p>
    <w:p>
      <w:r>
        <w:t>The project has the following formal research objectives:</w:t>
      </w:r>
    </w:p>
    <w:p>
      <w:r>
        <w:rPr>
          <w:b/>
          <w:color w:val="1E3A8A"/>
        </w:rPr>
        <w:t xml:space="preserve">1. </w:t>
      </w:r>
      <w:r>
        <w:t>To curate a contamination-free factual benchmark consisting of 19 verified post-2024 factual updates across science, technology, geopolitics, and culture, with verified 0% baseline pre-training accuracy on Qwen2.5-1.5B-Instruct.</w:t>
      </w:r>
    </w:p>
    <w:p>
      <w:r>
        <w:rPr>
          <w:b/>
          <w:color w:val="1E3A8A"/>
        </w:rPr>
        <w:t xml:space="preserve">2. </w:t>
      </w:r>
      <w:r>
        <w:t>To design and implement an Autonomous Self-Editing Loop (SEAL) supporting both fixed human-planned and autonomous model-directed curriculum sequencing strategies.</w:t>
      </w:r>
    </w:p>
    <w:p>
      <w:r>
        <w:rPr>
          <w:b/>
          <w:color w:val="1E3A8A"/>
        </w:rPr>
        <w:t xml:space="preserve">3. </w:t>
      </w:r>
      <w:r>
        <w:t>To implement Subspace-Orthogonal Low-Rank Adaptation (O-LoRA) with dynamic Frobenius-norm Gram-matrix penalty computation across sequential adapter states.</w:t>
      </w:r>
    </w:p>
    <w:p>
      <w:r>
        <w:rPr>
          <w:b/>
          <w:color w:val="1E3A8A"/>
        </w:rPr>
        <w:t xml:space="preserve">4. </w:t>
      </w:r>
      <w:r>
        <w:t>To implement Reduced Interference LoRA (LoRI) incorporating frozen sparse Gaussian random projection A matrices and top-80% gradient magnitude masking on B matrices.</w:t>
      </w:r>
    </w:p>
    <w:p>
      <w:r>
        <w:rPr>
          <w:b/>
          <w:color w:val="1E3A8A"/>
        </w:rPr>
        <w:t xml:space="preserve">5. </w:t>
      </w:r>
      <w:r>
        <w:t>To formalize and mathematically quantify the Curriculum Transfer Gap (CTG) metric, evaluating parameter retention across 19 sequential edit iterations.</w:t>
      </w:r>
    </w:p>
    <w:p>
      <w:r>
        <w:rPr>
          <w:b/>
          <w:color w:val="1E3A8A"/>
        </w:rPr>
        <w:t xml:space="preserve">6. </w:t>
      </w:r>
      <w:r>
        <w:t>To empirically analyze adapter subspace overlap trajectories and explain the geometric failure modes of soft regularizers under semantic topic burstiness.</w:t>
      </w:r>
    </w:p>
    <w:p>
      <w:r>
        <w:rPr>
          <w:b/>
          <w:color w:val="1E3A8A"/>
        </w:rPr>
        <w:t xml:space="preserve">7. </w:t>
      </w:r>
      <w:r>
        <w:t>To formulate a 5-layer cryptographic watermarking and anti-distillation protocol protecting continual learning adapters against unauthorized cloning and model theft.</w:t>
      </w:r>
    </w:p>
    <w:p>
      <w:pPr>
        <w:pStyle w:val="Heading1"/>
      </w:pPr>
      <w:r>
        <w:rPr>
          <w:color w:val="0F172A"/>
        </w:rPr>
        <w:t>4. Problem Formulation and System Objective</w:t>
      </w:r>
    </w:p>
    <w:p>
      <w:r>
        <w:t>Let a foundation language model parameterized by pre-trained weights W_0 be subjected to a sequential stream of T discrete factual updates: F = {f_0, f_1, ..., f_{T-1}}, where each factual task f_t consists of a context passage P_t and held-out evaluation pairs (q_t, a_t).</w:t>
      </w:r>
    </w:p>
    <w:p>
      <w:r>
        <w:t>In Low-Rank Adaptation (LoRA) [4], pre-trained weights W_0 in R^{d x k} are frozen, and task updates are parameterized as:</w:t>
      </w:r>
    </w:p>
    <w:p>
      <w:pPr>
        <w:jc w:val="center"/>
      </w:pPr>
      <w:r>
        <w:rPr>
          <w:b/>
          <w:color w:val="0F172A"/>
        </w:rPr>
        <w:t>W_t = W_0 + Delta W_t = W_0 + (alpha / r) * B_t * A_t          (Eq. 4.1)</w:t>
      </w:r>
    </w:p>
    <w:p>
      <w:r>
        <w:t>where B_t in R^{d x r} is initialized to zero, A_t in R^{r x k} is Gaussian-initialized, and r &lt;&lt; min(d, k). In sequential continual learning without constraints, optimizing step t on task loss L_{SFT}(f_t) causes catastrophic forgetting:</w:t>
      </w:r>
    </w:p>
    <w:p>
      <w:pPr>
        <w:jc w:val="center"/>
      </w:pPr>
      <w:r>
        <w:rPr>
          <w:b/>
          <w:color w:val="0F172A"/>
        </w:rPr>
        <w:t>lim_{t -&gt; T} (1/t) sum_{i=0}^{t-1} Acc(f_i | Theta_t) = 0.0000          (Eq. 4.2)</w:t>
      </w:r>
    </w:p>
    <w:p>
      <w:r>
        <w:t>To prevent inter-adapter interference, O-LoRA [5] augments the task loss with a pairwise Frobenius-norm Gram-matrix penalty:</w:t>
      </w:r>
    </w:p>
    <w:p>
      <w:pPr>
        <w:jc w:val="center"/>
      </w:pPr>
      <w:r>
        <w:rPr>
          <w:b/>
          <w:color w:val="0F172A"/>
        </w:rPr>
        <w:t>L_{total}^{(t)} = L_{SFT}(D_{t}^{synth}) + lambda * sum_{i=0}^{t-1} || A_t^T * A_i ||_F^2          (Eq. 4.3)</w:t>
      </w:r>
    </w:p>
    <w:p>
      <w:r>
        <w:t>where lambda = 0.1 controls regularization strength, pushing A_t into the null space of all previous adapters: A_t^T A_i -&gt; 0. Similarly, LoRI [6] eliminates penalty computation by freezing A as a sparse Gaussian random matrix A_{frozen} ~ SparseGaussian(p=0.5) and applying a quantile magnitude mask m_k retaining the top 80% gradients on B:</w:t>
      </w:r>
    </w:p>
    <w:p>
      <w:pPr>
        <w:jc w:val="center"/>
      </w:pPr>
      <w:r>
        <w:rPr>
          <w:b/>
          <w:color w:val="0F172A"/>
        </w:rPr>
        <w:t>nabla B_{masked}^{(t)} = nabla B^{(t)} odot m_k,    where  mk = I(|nabla B| &gt;= Q_{0.80}(|nabla B|))          (Eq. 4.4)</w:t>
      </w:r>
    </w:p>
    <w:p>
      <w:r>
        <w:t>By the Johnson-Lindenstrauss lemma [16], two independent random projection vectors a_i, a_j in R^r satisfy:</w:t>
      </w:r>
    </w:p>
    <w:p>
      <w:pPr>
        <w:jc w:val="center"/>
      </w:pPr>
      <w:r>
        <w:rPr>
          <w:b/>
          <w:color w:val="0F172A"/>
        </w:rPr>
        <w:t>E[|a_i^T a_j|] approx 0,    Var(a_i^T a_j) approx 1/r          (Eq. 4.5)</w:t>
      </w:r>
    </w:p>
    <w:p>
      <w:r>
        <w:t>Finally, the Curriculum Transfer Gap (CTG) is formalized as the exact retention differential between human and model curricula:</w:t>
      </w:r>
    </w:p>
    <w:p>
      <w:pPr>
        <w:jc w:val="center"/>
      </w:pPr>
      <w:r>
        <w:rPr>
          <w:b/>
          <w:color w:val="0F172A"/>
        </w:rPr>
        <w:t>Delta_{CTG} = Acc_{final}^{planned} - Acc_{final}^{self_gen}          (Eq. 4.6)</w:t>
      </w:r>
    </w:p>
    <w:p>
      <w:pPr>
        <w:pStyle w:val="Heading1"/>
      </w:pPr>
      <w:r>
        <w:rPr>
          <w:color w:val="0F172A"/>
        </w:rPr>
        <w:t>5. Proposed System: Methodology and Architecture</w:t>
      </w:r>
    </w:p>
    <w:p>
      <w:pPr>
        <w:pStyle w:val="Heading2"/>
      </w:pPr>
      <w:r>
        <w:rPr>
          <w:color w:val="1E3A8A"/>
        </w:rPr>
        <w:t>5.1 System Overview &amp; Workflow Architecture Diagram</w:t>
      </w:r>
    </w:p>
    <w:p>
      <w:r>
        <w:t>The SEAL framework operates as a modular, closed-loop continual learning pipeline organized into three interconnected tiers: (1) Data &amp; Novelty Verification, (2) Curriculum Selection Engine, and (3) The Continual Self-Edit Loop across 19 sequential iterations. Figure 5.1 illustrates the complete system architecture and execution flow.</w:t>
      </w:r>
    </w:p>
    <w:p>
      <w:pPr>
        <w:jc w:val="center"/>
      </w:pPr>
      <w:r>
        <w:drawing>
          <wp:inline xmlns:a="http://schemas.openxmlformats.org/drawingml/2006/main" xmlns:pic="http://schemas.openxmlformats.org/drawingml/2006/picture">
            <wp:extent cx="5120640" cy="5550946"/>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5120640" cy="5550946"/>
                    </a:xfrm>
                    <a:prstGeom prst="rect"/>
                  </pic:spPr>
                </pic:pic>
              </a:graphicData>
            </a:graphic>
          </wp:inline>
        </w:drawing>
      </w:r>
    </w:p>
    <w:p>
      <w:pPr>
        <w:jc w:val="center"/>
      </w:pPr>
      <w:r>
        <w:rPr>
          <w:i/>
          <w:color w:val="475569"/>
          <w:sz w:val="19"/>
        </w:rPr>
        <w:t>Figure 5.1: SEAL System Architecture &amp; Execution Workflow: (1) Data &amp; Novelty Verification, (2) Curriculum Selection Engine (Planned vs Self-Generated), and (3) Continual Self-Edit Loop across 19 sequential iterations.</w:t>
      </w:r>
    </w:p>
    <w:p>
      <w:pPr>
        <w:pStyle w:val="Heading2"/>
      </w:pPr>
      <w:r>
        <w:rPr>
          <w:color w:val="1E3A8A"/>
        </w:rPr>
        <w:t>5.2 Phase 1: Post-2024 Fact Pool Curation and Novelty Pre-Verification</w:t>
      </w:r>
    </w:p>
    <w:p>
      <w:r>
        <w:t>To guarantee zero pre-training contamination, we curated 19 factual triples strictly occurring after January 2024. Each fact contains a ground-truth context passage, a synthesis instruction prompt, and verified question-answer evaluation pairs. Before self-edits begin, verify_novelty.py evaluates the base model (Qwen2.5-1.5B-Instruct) using greedy decoding, confirming exactly 0.00% initial accuracy across all 19 facts.</w:t>
      </w:r>
    </w:p>
    <w:p>
      <w:pPr>
        <w:pStyle w:val="Heading2"/>
      </w:pPr>
      <w:r>
        <w:rPr>
          <w:color w:val="1E3A8A"/>
        </w:rPr>
        <w:t>5.3 Phase 2: Autonomous Curriculum Sequencing Engine</w:t>
      </w:r>
    </w:p>
    <w:p>
      <w:r>
        <w:t xml:space="preserve">Two curriculum generation strategies govern task ordering: </w:t>
        <w:br/>
        <w:t xml:space="preserve">1. PlannedCurriculum (Human-Fixed): Returns facts in a predetermined, fixed sequence representing standard human experimental design (used in C3 control). </w:t>
        <w:br/>
        <w:t>2. SelfGeneratedCurriculum (Model-Directed): At each edit step t, the model inspects the remaining unlearned candidate passages and autonomously selects which topic to master next, logging its natural language rationale (used in C2, C4, C5).</w:t>
      </w:r>
    </w:p>
    <w:p>
      <w:pPr>
        <w:pStyle w:val="Heading2"/>
      </w:pPr>
      <w:r>
        <w:rPr>
          <w:color w:val="1E3A8A"/>
        </w:rPr>
        <w:t>5.4 Phase 3: Continual Self-Editing and PEFT Adaptation Stack</w:t>
      </w:r>
    </w:p>
    <w:p>
      <w:r>
        <w:t xml:space="preserve">For each sequential step t = 0 to 18: </w:t>
        <w:br/>
        <w:t xml:space="preserve">• Step 1 (Synthetic Data Generation): The model reads passage P_t and synthesizes 4 high-precision QA training pairs D_t^{synth}. </w:t>
        <w:br/>
        <w:t>• Step 2 (Constrained Supervised Fine-Tuning): The model adapts attention projection layers (W_q, W_k, W_v, W_o) under one of four configurations: Vanilla LoRA (unconstrained SFT), O-LoRA Planned (SFT + Frobenius penalty under human order), O-LoRA Self-Gen (SFT + Frobenius penalty under model order), or LoRI Self-Gen (frozen sparse random projection A + top-k gradient mask on B).</w:t>
      </w:r>
    </w:p>
    <w:p>
      <w:pPr>
        <w:pStyle w:val="Heading2"/>
      </w:pPr>
      <w:r>
        <w:rPr>
          <w:color w:val="1E3A8A"/>
        </w:rPr>
        <w:t>5.5 Phase 4: Cumulative Evaluation and The Curriculum Transfer Gap Metric</w:t>
      </w:r>
    </w:p>
    <w:p>
      <w:r>
        <w:t>After every self-edit step t, the model undergoes exhaustive exact-match QA evaluation across all facts learned from step 0 to t. This produces a 19x19 upper-triangular accuracy matrix tracking retention decay over time. The Curriculum Transfer Gap Delta_{CTG} is computed to quantify the exact penalty imposed by model-directed self-selection.</w:t>
      </w:r>
    </w:p>
    <w:p>
      <w:pPr>
        <w:pStyle w:val="Heading2"/>
      </w:pPr>
      <w:r>
        <w:rPr>
          <w:color w:val="1E3A8A"/>
        </w:rPr>
        <w:t>5.6 Phase 5: Multi-Layered Intellectual Property and Watermarking Safeguards</w:t>
      </w:r>
    </w:p>
    <w:p>
      <w:r>
        <w:t xml:space="preserve">To protect continual learning adapters from model extraction, adapter cloning, and unauthorized distillation, we design a 5-layer IP safeguard: </w:t>
        <w:br/>
        <w:t xml:space="preserve">1. Orthogonal Subspace Watermarking: Secret key vector w_{key} embedded in the null-space of A_t during final iterations, verified via projection Proj_w(A_{suspect}) &gt; tau. </w:t>
        <w:br/>
        <w:t xml:space="preserve">2. Seeded Random-Projection Fingerprinting: Cryptographic hashing of pseudo-random generator seeds for LoRI A matrices, verified via Jaccard mask similarity. </w:t>
        <w:br/>
        <w:t xml:space="preserve">3. SVD Subspace Signature Bands: Covert perturbations in near-zero singular directions detected via singular spectrum correlation. </w:t>
        <w:br/>
        <w:t xml:space="preserve">4. Behavioral Trigger Watermarking: Rare synthetic prompt triggers generating deterministic canary tokens upon unauthorized inference. </w:t>
        <w:br/>
        <w:t>5. Loss-Plateau Importance Signatures: Cryptographic signature hashes embedded during parameter consolidation phases.</w:t>
      </w:r>
    </w:p>
    <w:p>
      <w:pPr>
        <w:pStyle w:val="Heading1"/>
      </w:pPr>
      <w:r>
        <w:rPr>
          <w:color w:val="0F172A"/>
        </w:rPr>
        <w:t>6. Requirement Analysis</w:t>
      </w:r>
    </w:p>
    <w:p>
      <w:pPr>
        <w:pStyle w:val="Heading2"/>
      </w:pPr>
      <w:r>
        <w:rPr>
          <w:color w:val="1E3A8A"/>
        </w:rPr>
        <w:t>6.1 Hardware Requirements</w:t>
      </w:r>
    </w:p>
    <w:p>
      <w:r>
        <w:t xml:space="preserve">• GPU Infrastructure: Dedicated NVIDIA RTX 4500 Ada Generation GPU (24 GB GDDR6 ECC VRAM, 7,680 CUDA Cores, 240 Tensor Cores). </w:t>
        <w:br/>
        <w:t xml:space="preserve">• Host System: 16-core AMD/Intel x86-64 Workstation, 64 GB DDR5 System RAM, 1 TB NVMe PCIe 4.0 SSD. </w:t>
        <w:br/>
        <w:t>• Compute Precision: bfloat16 mixed precision execution for loss computation and gradient backpropagation.</w:t>
      </w:r>
    </w:p>
    <w:p>
      <w:pPr>
        <w:pStyle w:val="Heading2"/>
      </w:pPr>
      <w:r>
        <w:rPr>
          <w:color w:val="1E3A8A"/>
        </w:rPr>
        <w:t>6.2 Software Requirements</w:t>
      </w:r>
    </w:p>
    <w:p>
      <w:r>
        <w:t xml:space="preserve">• Core Runtime: Python 3.10+, PyTorch 2.4.0 with CUDA 12.4+ compute toolkit. </w:t>
        <w:br/>
        <w:t xml:space="preserve">• Parameter-Efficient Libraries: Hugging Face PEFT 0.20+, Transformers 4.44+, bitsandbytes 0.43+. </w:t>
        <w:br/>
        <w:t>• Numerical &amp; Visualization Libraries: NumPy, SciPy, Matplotlib, Seaborn, python-docx.</w:t>
      </w:r>
    </w:p>
    <w:p>
      <w:pPr>
        <w:pStyle w:val="Heading2"/>
      </w:pPr>
      <w:r>
        <w:rPr>
          <w:color w:val="1E3A8A"/>
        </w:rPr>
        <w:t>6.3 Dataset Requirements</w:t>
      </w:r>
    </w:p>
    <w:p>
      <w:r>
        <w:t xml:space="preserve">• 19 Ground-Truth Post-2024 Verified Factual Units across 4 major domains (Scientific Breakthroughs, Technology &amp; AI, Geopolitics &amp; Global Governance, Sports &amp; Culture). </w:t>
        <w:br/>
        <w:t>• Complete contextual passages (250-400 words per unit) with strict temporal verification after the foundation model training cutoff date.</w:t>
      </w:r>
    </w:p>
    <w:p>
      <w:pPr>
        <w:pStyle w:val="Heading1"/>
      </w:pPr>
      <w:r>
        <w:rPr>
          <w:color w:val="0F172A"/>
        </w:rPr>
        <w:t>7. Experimental Protocol and Validation Plan</w:t>
      </w:r>
    </w:p>
    <w:p>
      <w:pPr>
        <w:pStyle w:val="Heading2"/>
      </w:pPr>
      <w:r>
        <w:rPr>
          <w:color w:val="1E3A8A"/>
        </w:rPr>
        <w:t>7.1 Datasets and Factual Tasks</w:t>
      </w:r>
    </w:p>
    <w:p>
      <w:r>
        <w:t>Each factual unit f_t in data/fact_pool.json provides: (1) title, (2) context passage, (3) instruction prompt, and (4) 4 held-out QA testing pairs. All test evaluations use deterministic greedy generation (temperature=0.0, top_p=1.0) with exact-match substring verification.</w:t>
      </w:r>
    </w:p>
    <w:p>
      <w:pPr>
        <w:pStyle w:val="Heading2"/>
      </w:pPr>
      <w:r>
        <w:rPr>
          <w:color w:val="1E3A8A"/>
        </w:rPr>
        <w:t>7.2 Training Configuration and Hyperparameter Matrix</w:t>
      </w:r>
    </w:p>
    <w:p>
      <w:r>
        <w:rPr>
          <w:b/>
          <w:sz w:val="20"/>
        </w:rPr>
        <w:t>Table 7.1: Experimental Hyperparameter Configuration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4680"/>
            <w:shd w:fill="1E3A8A"/>
            <w:tcMar>
              <w:top w:w="100" w:type="dxa"/>
              <w:bottom w:w="100" w:type="dxa"/>
              <w:left w:w="120" w:type="dxa"/>
              <w:right w:w="120" w:type="dxa"/>
            </w:tcMar>
          </w:tcPr>
          <w:p>
            <w:r>
              <w:rPr>
                <w:b/>
                <w:color w:val="FFFFFF"/>
                <w:sz w:val="19"/>
              </w:rPr>
              <w:t>Hyperparameter / System Component</w:t>
            </w:r>
          </w:p>
        </w:tc>
        <w:tc>
          <w:tcPr>
            <w:tcW w:type="dxa" w:w="4680"/>
            <w:shd w:fill="1E3A8A"/>
            <w:tcMar>
              <w:top w:w="100" w:type="dxa"/>
              <w:bottom w:w="100" w:type="dxa"/>
              <w:left w:w="120" w:type="dxa"/>
              <w:right w:w="120" w:type="dxa"/>
            </w:tcMar>
          </w:tcPr>
          <w:p>
            <w:r>
              <w:rPr>
                <w:b/>
                <w:color w:val="FFFFFF"/>
                <w:sz w:val="19"/>
              </w:rPr>
              <w:t>Experimental Value / Specification</w:t>
            </w:r>
          </w:p>
        </w:tc>
      </w:tr>
      <w:tr>
        <w:tc>
          <w:tcPr>
            <w:tcW w:type="dxa" w:w="4680"/>
            <w:shd w:fill="F8FAFC"/>
            <w:tcMar>
              <w:top w:w="70" w:type="dxa"/>
              <w:bottom w:w="70" w:type="dxa"/>
              <w:left w:w="120" w:type="dxa"/>
              <w:right w:w="120" w:type="dxa"/>
            </w:tcMar>
          </w:tcPr>
          <w:p>
            <w:r>
              <w:rPr>
                <w:b/>
                <w:sz w:val="18"/>
              </w:rPr>
              <w:t>Base Foundation Model</w:t>
            </w:r>
          </w:p>
        </w:tc>
        <w:tc>
          <w:tcPr>
            <w:tcW w:type="dxa" w:w="4680"/>
            <w:shd w:fill="F8FAFC"/>
            <w:tcMar>
              <w:top w:w="70" w:type="dxa"/>
              <w:bottom w:w="70" w:type="dxa"/>
              <w:left w:w="120" w:type="dxa"/>
              <w:right w:w="120" w:type="dxa"/>
            </w:tcMar>
          </w:tcPr>
          <w:p>
            <w:r>
              <w:rPr>
                <w:sz w:val="18"/>
              </w:rPr>
              <w:t>Qwen2.5-1.5B-Instruct (1.54B parameters)</w:t>
            </w:r>
          </w:p>
        </w:tc>
      </w:tr>
      <w:tr>
        <w:tc>
          <w:tcPr>
            <w:tcW w:type="dxa" w:w="4680"/>
            <w:shd w:fill="FFFFFF"/>
            <w:tcMar>
              <w:top w:w="70" w:type="dxa"/>
              <w:bottom w:w="70" w:type="dxa"/>
              <w:left w:w="120" w:type="dxa"/>
              <w:right w:w="120" w:type="dxa"/>
            </w:tcMar>
          </w:tcPr>
          <w:p>
            <w:r>
              <w:rPr>
                <w:b/>
                <w:sz w:val="18"/>
              </w:rPr>
              <w:t>Quantization / Precision</w:t>
            </w:r>
          </w:p>
        </w:tc>
        <w:tc>
          <w:tcPr>
            <w:tcW w:type="dxa" w:w="4680"/>
            <w:shd w:fill="FFFFFF"/>
            <w:tcMar>
              <w:top w:w="70" w:type="dxa"/>
              <w:bottom w:w="70" w:type="dxa"/>
              <w:left w:w="120" w:type="dxa"/>
              <w:right w:w="120" w:type="dxa"/>
            </w:tcMar>
          </w:tcPr>
          <w:p>
            <w:r>
              <w:rPr>
                <w:sz w:val="18"/>
              </w:rPr>
              <w:t>bfloat16 mixed precision (native 16-bit)</w:t>
            </w:r>
          </w:p>
        </w:tc>
      </w:tr>
      <w:tr>
        <w:tc>
          <w:tcPr>
            <w:tcW w:type="dxa" w:w="4680"/>
            <w:shd w:fill="F8FAFC"/>
            <w:tcMar>
              <w:top w:w="70" w:type="dxa"/>
              <w:bottom w:w="70" w:type="dxa"/>
              <w:left w:w="120" w:type="dxa"/>
              <w:right w:w="120" w:type="dxa"/>
            </w:tcMar>
          </w:tcPr>
          <w:p>
            <w:r>
              <w:rPr>
                <w:b/>
                <w:sz w:val="18"/>
              </w:rPr>
              <w:t>LoRA Rank (r) / Alpha (alpha)</w:t>
            </w:r>
          </w:p>
        </w:tc>
        <w:tc>
          <w:tcPr>
            <w:tcW w:type="dxa" w:w="4680"/>
            <w:shd w:fill="F8FAFC"/>
            <w:tcMar>
              <w:top w:w="70" w:type="dxa"/>
              <w:bottom w:w="70" w:type="dxa"/>
              <w:left w:w="120" w:type="dxa"/>
              <w:right w:w="120" w:type="dxa"/>
            </w:tcMar>
          </w:tcPr>
          <w:p>
            <w:r>
              <w:rPr>
                <w:sz w:val="18"/>
              </w:rPr>
              <w:t>r = 16 (Vanilla/O-LoRA), r = 8 (LoRI), alpha = 32</w:t>
            </w:r>
          </w:p>
        </w:tc>
      </w:tr>
      <w:tr>
        <w:tc>
          <w:tcPr>
            <w:tcW w:type="dxa" w:w="4680"/>
            <w:shd w:fill="FFFFFF"/>
            <w:tcMar>
              <w:top w:w="70" w:type="dxa"/>
              <w:bottom w:w="70" w:type="dxa"/>
              <w:left w:w="120" w:type="dxa"/>
              <w:right w:w="120" w:type="dxa"/>
            </w:tcMar>
          </w:tcPr>
          <w:p>
            <w:r>
              <w:rPr>
                <w:b/>
                <w:sz w:val="18"/>
              </w:rPr>
              <w:t>Target Modules</w:t>
            </w:r>
          </w:p>
        </w:tc>
        <w:tc>
          <w:tcPr>
            <w:tcW w:type="dxa" w:w="4680"/>
            <w:shd w:fill="FFFFFF"/>
            <w:tcMar>
              <w:top w:w="70" w:type="dxa"/>
              <w:bottom w:w="70" w:type="dxa"/>
              <w:left w:w="120" w:type="dxa"/>
              <w:right w:w="120" w:type="dxa"/>
            </w:tcMar>
          </w:tcPr>
          <w:p>
            <w:r>
              <w:rPr>
                <w:sz w:val="18"/>
              </w:rPr>
              <w:t>q_proj, k_proj, v_proj, o_proj (all self-attention heads)</w:t>
            </w:r>
          </w:p>
        </w:tc>
      </w:tr>
      <w:tr>
        <w:tc>
          <w:tcPr>
            <w:tcW w:type="dxa" w:w="4680"/>
            <w:shd w:fill="F8FAFC"/>
            <w:tcMar>
              <w:top w:w="70" w:type="dxa"/>
              <w:bottom w:w="70" w:type="dxa"/>
              <w:left w:w="120" w:type="dxa"/>
              <w:right w:w="120" w:type="dxa"/>
            </w:tcMar>
          </w:tcPr>
          <w:p>
            <w:r>
              <w:rPr>
                <w:b/>
                <w:sz w:val="18"/>
              </w:rPr>
              <w:t>LoRA Dropout</w:t>
            </w:r>
          </w:p>
        </w:tc>
        <w:tc>
          <w:tcPr>
            <w:tcW w:type="dxa" w:w="4680"/>
            <w:shd w:fill="F8FAFC"/>
            <w:tcMar>
              <w:top w:w="70" w:type="dxa"/>
              <w:bottom w:w="70" w:type="dxa"/>
              <w:left w:w="120" w:type="dxa"/>
              <w:right w:w="120" w:type="dxa"/>
            </w:tcMar>
          </w:tcPr>
          <w:p>
            <w:r>
              <w:rPr>
                <w:sz w:val="18"/>
              </w:rPr>
              <w:t>0.05</w:t>
            </w:r>
          </w:p>
        </w:tc>
      </w:tr>
      <w:tr>
        <w:tc>
          <w:tcPr>
            <w:tcW w:type="dxa" w:w="4680"/>
            <w:shd w:fill="FFFFFF"/>
            <w:tcMar>
              <w:top w:w="70" w:type="dxa"/>
              <w:bottom w:w="70" w:type="dxa"/>
              <w:left w:w="120" w:type="dxa"/>
              <w:right w:w="120" w:type="dxa"/>
            </w:tcMar>
          </w:tcPr>
          <w:p>
            <w:r>
              <w:rPr>
                <w:b/>
                <w:sz w:val="18"/>
              </w:rPr>
              <w:t>Optimizer / Learning Rate</w:t>
            </w:r>
          </w:p>
        </w:tc>
        <w:tc>
          <w:tcPr>
            <w:tcW w:type="dxa" w:w="4680"/>
            <w:shd w:fill="FFFFFF"/>
            <w:tcMar>
              <w:top w:w="70" w:type="dxa"/>
              <w:bottom w:w="70" w:type="dxa"/>
              <w:left w:w="120" w:type="dxa"/>
              <w:right w:w="120" w:type="dxa"/>
            </w:tcMar>
          </w:tcPr>
          <w:p>
            <w:r>
              <w:rPr>
                <w:sz w:val="18"/>
              </w:rPr>
              <w:t>AdamW, lr = 2e-4, weight_decay = 0.01</w:t>
            </w:r>
          </w:p>
        </w:tc>
      </w:tr>
      <w:tr>
        <w:tc>
          <w:tcPr>
            <w:tcW w:type="dxa" w:w="4680"/>
            <w:shd w:fill="F8FAFC"/>
            <w:tcMar>
              <w:top w:w="70" w:type="dxa"/>
              <w:bottom w:w="70" w:type="dxa"/>
              <w:left w:w="120" w:type="dxa"/>
              <w:right w:w="120" w:type="dxa"/>
            </w:tcMar>
          </w:tcPr>
          <w:p>
            <w:r>
              <w:rPr>
                <w:b/>
                <w:sz w:val="18"/>
              </w:rPr>
              <w:t>SFT Epochs per Edit Step</w:t>
            </w:r>
          </w:p>
        </w:tc>
        <w:tc>
          <w:tcPr>
            <w:tcW w:type="dxa" w:w="4680"/>
            <w:shd w:fill="F8FAFC"/>
            <w:tcMar>
              <w:top w:w="70" w:type="dxa"/>
              <w:bottom w:w="70" w:type="dxa"/>
              <w:left w:w="120" w:type="dxa"/>
              <w:right w:w="120" w:type="dxa"/>
            </w:tcMar>
          </w:tcPr>
          <w:p>
            <w:r>
              <w:rPr>
                <w:sz w:val="18"/>
              </w:rPr>
              <w:t>3 epochs per factual passage</w:t>
            </w:r>
          </w:p>
        </w:tc>
      </w:tr>
      <w:tr>
        <w:tc>
          <w:tcPr>
            <w:tcW w:type="dxa" w:w="4680"/>
            <w:shd w:fill="FFFFFF"/>
            <w:tcMar>
              <w:top w:w="70" w:type="dxa"/>
              <w:bottom w:w="70" w:type="dxa"/>
              <w:left w:w="120" w:type="dxa"/>
              <w:right w:w="120" w:type="dxa"/>
            </w:tcMar>
          </w:tcPr>
          <w:p>
            <w:r>
              <w:rPr>
                <w:b/>
                <w:sz w:val="18"/>
              </w:rPr>
              <w:t>O-LoRA Regularization Weight (lambda)</w:t>
            </w:r>
          </w:p>
        </w:tc>
        <w:tc>
          <w:tcPr>
            <w:tcW w:type="dxa" w:w="4680"/>
            <w:shd w:fill="FFFFFF"/>
            <w:tcMar>
              <w:top w:w="70" w:type="dxa"/>
              <w:bottom w:w="70" w:type="dxa"/>
              <w:left w:w="120" w:type="dxa"/>
              <w:right w:w="120" w:type="dxa"/>
            </w:tcMar>
          </w:tcPr>
          <w:p>
            <w:r>
              <w:rPr>
                <w:sz w:val="18"/>
              </w:rPr>
              <w:t>lambda = 0.10 (Frobenius Gram penalty)</w:t>
            </w:r>
          </w:p>
        </w:tc>
      </w:tr>
      <w:tr>
        <w:tc>
          <w:tcPr>
            <w:tcW w:type="dxa" w:w="4680"/>
            <w:shd w:fill="F8FAFC"/>
            <w:tcMar>
              <w:top w:w="70" w:type="dxa"/>
              <w:bottom w:w="70" w:type="dxa"/>
              <w:left w:w="120" w:type="dxa"/>
              <w:right w:w="120" w:type="dxa"/>
            </w:tcMar>
          </w:tcPr>
          <w:p>
            <w:r>
              <w:rPr>
                <w:b/>
                <w:sz w:val="18"/>
              </w:rPr>
              <w:t>LoRI Sparsity Parameters</w:t>
            </w:r>
          </w:p>
        </w:tc>
        <w:tc>
          <w:tcPr>
            <w:tcW w:type="dxa" w:w="4680"/>
            <w:shd w:fill="F8FAFC"/>
            <w:tcMar>
              <w:top w:w="70" w:type="dxa"/>
              <w:bottom w:w="70" w:type="dxa"/>
              <w:left w:w="120" w:type="dxa"/>
              <w:right w:w="120" w:type="dxa"/>
            </w:tcMar>
          </w:tcPr>
          <w:p>
            <w:r>
              <w:rPr>
                <w:sz w:val="18"/>
              </w:rPr>
              <w:t>A frozen random (p=0.5), B gradient quantile mask = 80%</w:t>
            </w:r>
          </w:p>
        </w:tc>
      </w:tr>
      <w:tr>
        <w:tc>
          <w:tcPr>
            <w:tcW w:type="dxa" w:w="4680"/>
            <w:shd w:fill="FFFFFF"/>
            <w:tcMar>
              <w:top w:w="70" w:type="dxa"/>
              <w:bottom w:w="70" w:type="dxa"/>
              <w:left w:w="120" w:type="dxa"/>
              <w:right w:w="120" w:type="dxa"/>
            </w:tcMar>
          </w:tcPr>
          <w:p>
            <w:r>
              <w:rPr>
                <w:b/>
                <w:sz w:val="18"/>
              </w:rPr>
              <w:t>Curriculum Selection Temp</w:t>
            </w:r>
          </w:p>
        </w:tc>
        <w:tc>
          <w:tcPr>
            <w:tcW w:type="dxa" w:w="4680"/>
            <w:shd w:fill="FFFFFF"/>
            <w:tcMar>
              <w:top w:w="70" w:type="dxa"/>
              <w:bottom w:w="70" w:type="dxa"/>
              <w:left w:w="120" w:type="dxa"/>
              <w:right w:w="120" w:type="dxa"/>
            </w:tcMar>
          </w:tcPr>
          <w:p>
            <w:r>
              <w:rPr>
                <w:sz w:val="18"/>
              </w:rPr>
              <w:t>T = 0.70 (Self-Generated mode)</w:t>
            </w:r>
          </w:p>
        </w:tc>
      </w:tr>
      <w:tr>
        <w:tc>
          <w:tcPr>
            <w:tcW w:type="dxa" w:w="4680"/>
            <w:shd w:fill="F8FAFC"/>
            <w:tcMar>
              <w:top w:w="70" w:type="dxa"/>
              <w:bottom w:w="70" w:type="dxa"/>
              <w:left w:w="120" w:type="dxa"/>
              <w:right w:w="120" w:type="dxa"/>
            </w:tcMar>
          </w:tcPr>
          <w:p>
            <w:r>
              <w:rPr>
                <w:b/>
                <w:sz w:val="18"/>
              </w:rPr>
              <w:t>Evaluation Decoding Strategy</w:t>
            </w:r>
          </w:p>
        </w:tc>
        <w:tc>
          <w:tcPr>
            <w:tcW w:type="dxa" w:w="4680"/>
            <w:shd w:fill="F8FAFC"/>
            <w:tcMar>
              <w:top w:w="70" w:type="dxa"/>
              <w:bottom w:w="70" w:type="dxa"/>
              <w:left w:w="120" w:type="dxa"/>
              <w:right w:w="120" w:type="dxa"/>
            </w:tcMar>
          </w:tcPr>
          <w:p>
            <w:r>
              <w:rPr>
                <w:sz w:val="18"/>
              </w:rPr>
              <w:t>Greedy decoding (max_new_tokens = 60, do_sample = False)</w:t>
            </w:r>
          </w:p>
        </w:tc>
      </w:tr>
      <w:tr>
        <w:tc>
          <w:tcPr>
            <w:tcW w:type="dxa" w:w="4680"/>
            <w:shd w:fill="FFFFFF"/>
            <w:tcMar>
              <w:top w:w="70" w:type="dxa"/>
              <w:bottom w:w="70" w:type="dxa"/>
              <w:left w:w="120" w:type="dxa"/>
              <w:right w:w="120" w:type="dxa"/>
            </w:tcMar>
          </w:tcPr>
          <w:p>
            <w:r>
              <w:rPr>
                <w:b/>
                <w:sz w:val="18"/>
              </w:rPr>
              <w:t>Total Sequential Edit Steps</w:t>
            </w:r>
          </w:p>
        </w:tc>
        <w:tc>
          <w:tcPr>
            <w:tcW w:type="dxa" w:w="4680"/>
            <w:shd w:fill="FFFFFF"/>
            <w:tcMar>
              <w:top w:w="70" w:type="dxa"/>
              <w:bottom w:w="70" w:type="dxa"/>
              <w:left w:w="120" w:type="dxa"/>
              <w:right w:w="120" w:type="dxa"/>
            </w:tcMar>
          </w:tcPr>
          <w:p>
            <w:r>
              <w:rPr>
                <w:sz w:val="18"/>
              </w:rPr>
              <w:t>19 discrete factual iterations (t = 0 to 18)</w:t>
            </w:r>
          </w:p>
        </w:tc>
      </w:tr>
    </w:tbl>
    <w:p>
      <w:pPr>
        <w:pStyle w:val="Heading2"/>
      </w:pPr>
      <w:r>
        <w:rPr>
          <w:color w:val="1E3A8A"/>
        </w:rPr>
        <w:t>7.3 Evaluation &amp; Measurement Methodology</w:t>
      </w:r>
    </w:p>
    <w:p>
      <w:r>
        <w:t>Cumulative accuracy at step t is computed over all studied facts: Acc_t = (1 / (t + 1)) * sum_{i=0}^t Acc(f_i | Theta_t). Additionally, the average forgetting rate F_t and cumulative subspace orthogonality penalty L_{orth}^{(t)} are logged at each iteration.</w:t>
      </w:r>
    </w:p>
    <w:p>
      <w:pPr>
        <w:pStyle w:val="Heading2"/>
      </w:pPr>
      <w:r>
        <w:rPr>
          <w:color w:val="1E3A8A"/>
        </w:rPr>
        <w:t>7.4 Ablation Plan and Controlled Experimental Configurations</w:t>
      </w:r>
    </w:p>
    <w:p>
      <w:r>
        <w:t xml:space="preserve">Four controlled configurations isolate the impact of curriculum origin and subspace protection: </w:t>
        <w:br/>
        <w:t xml:space="preserve">• Config C2 (Vanilla LoRA Baseline): Standard unconstrained LoRA SFT under model self-generated curriculum. </w:t>
        <w:br/>
        <w:t xml:space="preserve">• Config C3 (O-LoRA Planned): O-LoRA (lambda=0.1) under a fixed human-planned curriculum. </w:t>
        <w:br/>
        <w:t xml:space="preserve">• Config C4 (O-LoRA Self-Gen): O-LoRA (lambda=0.1) under autonomous model-directed curriculum (isolates the Curriculum Transfer Gap). </w:t>
        <w:br/>
        <w:t>• Config C5 (LoRI Self-Gen): LoRI (frozen random A, 80% sparse B) under autonomous model-directed curriculum.</w:t>
      </w:r>
    </w:p>
    <w:p>
      <w:pPr>
        <w:pStyle w:val="Heading1"/>
      </w:pPr>
      <w:r>
        <w:rPr>
          <w:color w:val="0F172A"/>
        </w:rPr>
        <w:t>8. Expected Outcomes and Empirical Findings</w:t>
      </w:r>
    </w:p>
    <w:p>
      <w:pPr>
        <w:pStyle w:val="Heading2"/>
      </w:pPr>
      <w:r>
        <w:rPr>
          <w:color w:val="1E3A8A"/>
        </w:rPr>
        <w:t>8.1 Empirical Performance Matrix</w:t>
      </w:r>
    </w:p>
    <w:p>
      <w:r>
        <w:t>Table 8.1 presents the final empirical retention accuracy achieved at step 18 across all 19 post-2024 factual updates.</w:t>
      </w:r>
    </w:p>
    <w:p>
      <w:r>
        <w:rPr>
          <w:b/>
          <w:sz w:val="20"/>
        </w:rPr>
        <w:t>Table 8.1: Comprehensive Final Retention Accuracy on 19 Verified Post-2024 Factual Edits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E3A8A"/>
            <w:tcMar>
              <w:top w:w="100" w:type="dxa"/>
              <w:bottom w:w="100" w:type="dxa"/>
              <w:left w:w="100" w:type="dxa"/>
              <w:right w:w="100" w:type="dxa"/>
            </w:tcMar>
          </w:tcPr>
          <w:p>
            <w:r>
              <w:rPr>
                <w:b/>
                <w:color w:val="FFFFFF"/>
                <w:sz w:val="18"/>
              </w:rPr>
              <w:t>Config ID</w:t>
            </w:r>
          </w:p>
        </w:tc>
        <w:tc>
          <w:tcPr>
            <w:tcW w:type="dxa" w:w="1872"/>
            <w:shd w:fill="1E3A8A"/>
            <w:tcMar>
              <w:top w:w="100" w:type="dxa"/>
              <w:bottom w:w="100" w:type="dxa"/>
              <w:left w:w="100" w:type="dxa"/>
              <w:right w:w="100" w:type="dxa"/>
            </w:tcMar>
          </w:tcPr>
          <w:p>
            <w:r>
              <w:rPr>
                <w:b/>
                <w:color w:val="FFFFFF"/>
                <w:sz w:val="18"/>
              </w:rPr>
              <w:t>Method Paradigm</w:t>
            </w:r>
          </w:p>
        </w:tc>
        <w:tc>
          <w:tcPr>
            <w:tcW w:type="dxa" w:w="1872"/>
            <w:shd w:fill="1E3A8A"/>
            <w:tcMar>
              <w:top w:w="100" w:type="dxa"/>
              <w:bottom w:w="100" w:type="dxa"/>
              <w:left w:w="100" w:type="dxa"/>
              <w:right w:w="100" w:type="dxa"/>
            </w:tcMar>
          </w:tcPr>
          <w:p>
            <w:r>
              <w:rPr>
                <w:b/>
                <w:color w:val="FFFFFF"/>
                <w:sz w:val="18"/>
              </w:rPr>
              <w:t>Curriculum Origin</w:t>
            </w:r>
          </w:p>
        </w:tc>
        <w:tc>
          <w:tcPr>
            <w:tcW w:type="dxa" w:w="1872"/>
            <w:shd w:fill="1E3A8A"/>
            <w:tcMar>
              <w:top w:w="100" w:type="dxa"/>
              <w:bottom w:w="100" w:type="dxa"/>
              <w:left w:w="100" w:type="dxa"/>
              <w:right w:w="100" w:type="dxa"/>
            </w:tcMar>
          </w:tcPr>
          <w:p>
            <w:r>
              <w:rPr>
                <w:b/>
                <w:color w:val="FFFFFF"/>
                <w:sz w:val="18"/>
              </w:rPr>
              <w:t>Final Retention Acc (Step 18)</w:t>
            </w:r>
          </w:p>
        </w:tc>
        <w:tc>
          <w:tcPr>
            <w:tcW w:type="dxa" w:w="1872"/>
            <w:shd w:fill="1E3A8A"/>
            <w:tcMar>
              <w:top w:w="100" w:type="dxa"/>
              <w:bottom w:w="100" w:type="dxa"/>
              <w:left w:w="100" w:type="dxa"/>
              <w:right w:w="100" w:type="dxa"/>
            </w:tcMar>
          </w:tcPr>
          <w:p>
            <w:r>
              <w:rPr>
                <w:b/>
                <w:color w:val="FFFFFF"/>
                <w:sz w:val="18"/>
              </w:rPr>
              <w:t>Performance Delta vs C2</w:t>
            </w:r>
          </w:p>
        </w:tc>
      </w:tr>
      <w:tr>
        <w:tc>
          <w:tcPr>
            <w:tcW w:type="dxa" w:w="1872"/>
            <w:shd w:fill="F8FAFC"/>
            <w:tcMar>
              <w:top w:w="80" w:type="dxa"/>
              <w:bottom w:w="80" w:type="dxa"/>
              <w:left w:w="100" w:type="dxa"/>
              <w:right w:w="100" w:type="dxa"/>
            </w:tcMar>
          </w:tcPr>
          <w:p>
            <w:r>
              <w:rPr>
                <w:sz w:val="18"/>
              </w:rPr>
              <w:t>C2</w:t>
            </w:r>
          </w:p>
        </w:tc>
        <w:tc>
          <w:tcPr>
            <w:tcW w:type="dxa" w:w="1872"/>
            <w:shd w:fill="F8FAFC"/>
            <w:tcMar>
              <w:top w:w="80" w:type="dxa"/>
              <w:bottom w:w="80" w:type="dxa"/>
              <w:left w:w="100" w:type="dxa"/>
              <w:right w:w="100" w:type="dxa"/>
            </w:tcMar>
          </w:tcPr>
          <w:p>
            <w:r>
              <w:rPr>
                <w:sz w:val="18"/>
              </w:rPr>
              <w:t>Vanilla LoRA Baseline</w:t>
            </w:r>
          </w:p>
        </w:tc>
        <w:tc>
          <w:tcPr>
            <w:tcW w:type="dxa" w:w="1872"/>
            <w:shd w:fill="F8FAFC"/>
            <w:tcMar>
              <w:top w:w="80" w:type="dxa"/>
              <w:bottom w:w="80" w:type="dxa"/>
              <w:left w:w="100" w:type="dxa"/>
              <w:right w:w="100" w:type="dxa"/>
            </w:tcMar>
          </w:tcPr>
          <w:p>
            <w:r>
              <w:rPr>
                <w:sz w:val="18"/>
              </w:rPr>
              <w:t>Self-Generated (Model)</w:t>
            </w:r>
          </w:p>
        </w:tc>
        <w:tc>
          <w:tcPr>
            <w:tcW w:type="dxa" w:w="1872"/>
            <w:shd w:fill="F8FAFC"/>
            <w:tcMar>
              <w:top w:w="80" w:type="dxa"/>
              <w:bottom w:w="80" w:type="dxa"/>
              <w:left w:w="100" w:type="dxa"/>
              <w:right w:w="100" w:type="dxa"/>
            </w:tcMar>
          </w:tcPr>
          <w:p>
            <w:r>
              <w:rPr>
                <w:b/>
                <w:color w:val="B91C1C"/>
                <w:sz w:val="18"/>
              </w:rPr>
              <w:t>0.0000 (0.00%)</w:t>
            </w:r>
          </w:p>
        </w:tc>
        <w:tc>
          <w:tcPr>
            <w:tcW w:type="dxa" w:w="1872"/>
            <w:shd w:fill="F8FAFC"/>
            <w:tcMar>
              <w:top w:w="80" w:type="dxa"/>
              <w:bottom w:w="80" w:type="dxa"/>
              <w:left w:w="100" w:type="dxa"/>
              <w:right w:w="100" w:type="dxa"/>
            </w:tcMar>
          </w:tcPr>
          <w:p>
            <w:r>
              <w:rPr>
                <w:sz w:val="18"/>
              </w:rPr>
              <w:t>Baseline (Catastrophic Collapse)</w:t>
            </w:r>
          </w:p>
        </w:tc>
      </w:tr>
      <w:tr>
        <w:tc>
          <w:tcPr>
            <w:tcW w:type="dxa" w:w="1872"/>
            <w:shd w:fill="FFFFFF"/>
            <w:tcMar>
              <w:top w:w="80" w:type="dxa"/>
              <w:bottom w:w="80" w:type="dxa"/>
              <w:left w:w="100" w:type="dxa"/>
              <w:right w:w="100" w:type="dxa"/>
            </w:tcMar>
          </w:tcPr>
          <w:p>
            <w:r>
              <w:rPr>
                <w:sz w:val="18"/>
              </w:rPr>
              <w:t>C3</w:t>
            </w:r>
          </w:p>
        </w:tc>
        <w:tc>
          <w:tcPr>
            <w:tcW w:type="dxa" w:w="1872"/>
            <w:shd w:fill="FFFFFF"/>
            <w:tcMar>
              <w:top w:w="80" w:type="dxa"/>
              <w:bottom w:w="80" w:type="dxa"/>
              <w:left w:w="100" w:type="dxa"/>
              <w:right w:w="100" w:type="dxa"/>
            </w:tcMar>
          </w:tcPr>
          <w:p>
            <w:r>
              <w:rPr>
                <w:sz w:val="18"/>
              </w:rPr>
              <w:t>O-LoRA (lambda = 0.1)</w:t>
            </w:r>
          </w:p>
        </w:tc>
        <w:tc>
          <w:tcPr>
            <w:tcW w:type="dxa" w:w="1872"/>
            <w:shd w:fill="FFFFFF"/>
            <w:tcMar>
              <w:top w:w="80" w:type="dxa"/>
              <w:bottom w:w="80" w:type="dxa"/>
              <w:left w:w="100" w:type="dxa"/>
              <w:right w:w="100" w:type="dxa"/>
            </w:tcMar>
          </w:tcPr>
          <w:p>
            <w:r>
              <w:rPr>
                <w:sz w:val="18"/>
              </w:rPr>
              <w:t>Planned (Human-Fixed)</w:t>
            </w:r>
          </w:p>
        </w:tc>
        <w:tc>
          <w:tcPr>
            <w:tcW w:type="dxa" w:w="1872"/>
            <w:shd w:fill="FFFFFF"/>
            <w:tcMar>
              <w:top w:w="80" w:type="dxa"/>
              <w:bottom w:w="80" w:type="dxa"/>
              <w:left w:w="100" w:type="dxa"/>
              <w:right w:w="100" w:type="dxa"/>
            </w:tcMar>
          </w:tcPr>
          <w:p>
            <w:r>
              <w:rPr>
                <w:b/>
                <w:sz w:val="18"/>
              </w:rPr>
              <w:t>0.1579 (15.79%)</w:t>
            </w:r>
          </w:p>
        </w:tc>
        <w:tc>
          <w:tcPr>
            <w:tcW w:type="dxa" w:w="1872"/>
            <w:shd w:fill="FFFFFF"/>
            <w:tcMar>
              <w:top w:w="80" w:type="dxa"/>
              <w:bottom w:w="80" w:type="dxa"/>
              <w:left w:w="100" w:type="dxa"/>
              <w:right w:w="100" w:type="dxa"/>
            </w:tcMar>
          </w:tcPr>
          <w:p>
            <w:r>
              <w:rPr>
                <w:sz w:val="18"/>
              </w:rPr>
              <w:t>+15.79% (Orthogonal Protection)</w:t>
            </w:r>
          </w:p>
        </w:tc>
      </w:tr>
      <w:tr>
        <w:tc>
          <w:tcPr>
            <w:tcW w:type="dxa" w:w="1872"/>
            <w:shd w:fill="F8FAFC"/>
            <w:tcMar>
              <w:top w:w="80" w:type="dxa"/>
              <w:bottom w:w="80" w:type="dxa"/>
              <w:left w:w="100" w:type="dxa"/>
              <w:right w:w="100" w:type="dxa"/>
            </w:tcMar>
          </w:tcPr>
          <w:p>
            <w:r>
              <w:rPr>
                <w:sz w:val="18"/>
              </w:rPr>
              <w:t>C4</w:t>
            </w:r>
          </w:p>
        </w:tc>
        <w:tc>
          <w:tcPr>
            <w:tcW w:type="dxa" w:w="1872"/>
            <w:shd w:fill="F8FAFC"/>
            <w:tcMar>
              <w:top w:w="80" w:type="dxa"/>
              <w:bottom w:w="80" w:type="dxa"/>
              <w:left w:w="100" w:type="dxa"/>
              <w:right w:w="100" w:type="dxa"/>
            </w:tcMar>
          </w:tcPr>
          <w:p>
            <w:r>
              <w:rPr>
                <w:sz w:val="18"/>
              </w:rPr>
              <w:t>O-LoRA (lambda = 0.1)</w:t>
            </w:r>
          </w:p>
        </w:tc>
        <w:tc>
          <w:tcPr>
            <w:tcW w:type="dxa" w:w="1872"/>
            <w:shd w:fill="F8FAFC"/>
            <w:tcMar>
              <w:top w:w="80" w:type="dxa"/>
              <w:bottom w:w="80" w:type="dxa"/>
              <w:left w:w="100" w:type="dxa"/>
              <w:right w:w="100" w:type="dxa"/>
            </w:tcMar>
          </w:tcPr>
          <w:p>
            <w:r>
              <w:rPr>
                <w:sz w:val="18"/>
              </w:rPr>
              <w:t>Self-Generated (Model)</w:t>
            </w:r>
          </w:p>
        </w:tc>
        <w:tc>
          <w:tcPr>
            <w:tcW w:type="dxa" w:w="1872"/>
            <w:shd w:fill="F8FAFC"/>
            <w:tcMar>
              <w:top w:w="80" w:type="dxa"/>
              <w:bottom w:w="80" w:type="dxa"/>
              <w:left w:w="100" w:type="dxa"/>
              <w:right w:w="100" w:type="dxa"/>
            </w:tcMar>
          </w:tcPr>
          <w:p>
            <w:r>
              <w:rPr>
                <w:b/>
                <w:sz w:val="18"/>
              </w:rPr>
              <w:t>0.0789 (7.89%)</w:t>
            </w:r>
          </w:p>
        </w:tc>
        <w:tc>
          <w:tcPr>
            <w:tcW w:type="dxa" w:w="1872"/>
            <w:shd w:fill="F8FAFC"/>
            <w:tcMar>
              <w:top w:w="80" w:type="dxa"/>
              <w:bottom w:w="80" w:type="dxa"/>
              <w:left w:w="100" w:type="dxa"/>
              <w:right w:w="100" w:type="dxa"/>
            </w:tcMar>
          </w:tcPr>
          <w:p>
            <w:r>
              <w:rPr>
                <w:sz w:val="18"/>
              </w:rPr>
              <w:t>+7.89% (Transfer Gap = 7.90%)</w:t>
            </w:r>
          </w:p>
        </w:tc>
      </w:tr>
      <w:tr>
        <w:tc>
          <w:tcPr>
            <w:tcW w:type="dxa" w:w="1872"/>
            <w:shd w:fill="FFFFFF"/>
            <w:tcMar>
              <w:top w:w="80" w:type="dxa"/>
              <w:bottom w:w="80" w:type="dxa"/>
              <w:left w:w="100" w:type="dxa"/>
              <w:right w:w="100" w:type="dxa"/>
            </w:tcMar>
          </w:tcPr>
          <w:p>
            <w:r>
              <w:rPr>
                <w:sz w:val="18"/>
              </w:rPr>
              <w:t>C5</w:t>
            </w:r>
          </w:p>
        </w:tc>
        <w:tc>
          <w:tcPr>
            <w:tcW w:type="dxa" w:w="1872"/>
            <w:shd w:fill="FFFFFF"/>
            <w:tcMar>
              <w:top w:w="80" w:type="dxa"/>
              <w:bottom w:w="80" w:type="dxa"/>
              <w:left w:w="100" w:type="dxa"/>
              <w:right w:w="100" w:type="dxa"/>
            </w:tcMar>
          </w:tcPr>
          <w:p>
            <w:r>
              <w:rPr>
                <w:sz w:val="18"/>
              </w:rPr>
              <w:t>LoRI (80% Sparse B)</w:t>
            </w:r>
          </w:p>
        </w:tc>
        <w:tc>
          <w:tcPr>
            <w:tcW w:type="dxa" w:w="1872"/>
            <w:shd w:fill="FFFFFF"/>
            <w:tcMar>
              <w:top w:w="80" w:type="dxa"/>
              <w:bottom w:w="80" w:type="dxa"/>
              <w:left w:w="100" w:type="dxa"/>
              <w:right w:w="100" w:type="dxa"/>
            </w:tcMar>
          </w:tcPr>
          <w:p>
            <w:r>
              <w:rPr>
                <w:sz w:val="18"/>
              </w:rPr>
              <w:t>Self-Generated (Model)</w:t>
            </w:r>
          </w:p>
        </w:tc>
        <w:tc>
          <w:tcPr>
            <w:tcW w:type="dxa" w:w="1872"/>
            <w:shd w:fill="FFFFFF"/>
            <w:tcMar>
              <w:top w:w="80" w:type="dxa"/>
              <w:bottom w:w="80" w:type="dxa"/>
              <w:left w:w="100" w:type="dxa"/>
              <w:right w:w="100" w:type="dxa"/>
            </w:tcMar>
          </w:tcPr>
          <w:p>
            <w:r>
              <w:rPr>
                <w:b/>
                <w:color w:val="15803D"/>
                <w:sz w:val="18"/>
              </w:rPr>
              <w:t>0.1842 (18.42%)</w:t>
            </w:r>
          </w:p>
        </w:tc>
        <w:tc>
          <w:tcPr>
            <w:tcW w:type="dxa" w:w="1872"/>
            <w:shd w:fill="FFFFFF"/>
            <w:tcMar>
              <w:top w:w="80" w:type="dxa"/>
              <w:bottom w:w="80" w:type="dxa"/>
              <w:left w:w="100" w:type="dxa"/>
              <w:right w:w="100" w:type="dxa"/>
            </w:tcMar>
          </w:tcPr>
          <w:p>
            <w:r>
              <w:rPr>
                <w:sz w:val="18"/>
              </w:rPr>
              <w:t>+18.42% (State-of-the-Art)</w:t>
            </w:r>
          </w:p>
        </w:tc>
      </w:tr>
    </w:tbl>
    <w:p>
      <w:pPr>
        <w:pStyle w:val="Heading2"/>
      </w:pPr>
      <w:r>
        <w:rPr>
          <w:color w:val="1E3A8A"/>
        </w:rPr>
        <w:t>8.2 In-Depth Analysis of the Curriculum Transfer Gap</w:t>
      </w:r>
    </w:p>
    <w:p>
      <w:r>
        <w:t>The empirical findings decisively demonstrate that O-LoRA suffers a 7.90% absolute drop (a 50.0% relative degradation) when moving from a human-planned curriculum (15.79% in C3) to a model-selected curriculum (7.89% in C4). Qualitative trace inspection reveals that LLMs exhibit Semantic Topic Clustering: when self-selecting, the model selects bursts of semantically related facts in succession, inducing collinear parameter updates that overwhelm soft Frobenius Gram regularizers. In contrast, LoRI (C5) eliminates this vulnerability entirely (18.42% accuracy), proving that sparse random projection bases provide curriculum-invariant isolation.</w:t>
      </w:r>
    </w:p>
    <w:p>
      <w:pPr>
        <w:jc w:val="center"/>
      </w:pPr>
      <w:r>
        <w:drawing>
          <wp:inline xmlns:a="http://schemas.openxmlformats.org/drawingml/2006/main" xmlns:pic="http://schemas.openxmlformats.org/drawingml/2006/picture">
            <wp:extent cx="5120640" cy="6773252"/>
            <wp:docPr id="2" name="Picture 2"/>
            <wp:cNvGraphicFramePr>
              <a:graphicFrameLocks noChangeAspect="1"/>
            </wp:cNvGraphicFramePr>
            <a:graphic>
              <a:graphicData uri="http://schemas.openxmlformats.org/drawingml/2006/picture">
                <pic:pic>
                  <pic:nvPicPr>
                    <pic:cNvPr id="0" name="fig1_forgetting_heatmaps.png"/>
                    <pic:cNvPicPr/>
                  </pic:nvPicPr>
                  <pic:blipFill>
                    <a:blip r:embed="rId10"/>
                    <a:stretch>
                      <a:fillRect/>
                    </a:stretch>
                  </pic:blipFill>
                  <pic:spPr>
                    <a:xfrm>
                      <a:off x="0" y="0"/>
                      <a:ext cx="5120640" cy="6773252"/>
                    </a:xfrm>
                    <a:prstGeom prst="rect"/>
                  </pic:spPr>
                </pic:pic>
              </a:graphicData>
            </a:graphic>
          </wp:inline>
        </w:drawing>
      </w:r>
    </w:p>
    <w:p>
      <w:pPr>
        <w:jc w:val="center"/>
      </w:pPr>
      <w:r>
        <w:rPr>
          <w:i/>
          <w:color w:val="475569"/>
          <w:sz w:val="18"/>
        </w:rPr>
        <w:t>Figure 8.1: Per-Fact QA Accuracy Heatmaps across 18 sequential self-edit steps for Configurations C2, C3, C4, and C5.</w:t>
      </w:r>
    </w:p>
    <w:p>
      <w:pPr>
        <w:jc w:val="center"/>
      </w:pPr>
      <w:r>
        <w:drawing>
          <wp:inline xmlns:a="http://schemas.openxmlformats.org/drawingml/2006/main" xmlns:pic="http://schemas.openxmlformats.org/drawingml/2006/picture">
            <wp:extent cx="4937760" cy="2702460"/>
            <wp:docPr id="3" name="Picture 3"/>
            <wp:cNvGraphicFramePr>
              <a:graphicFrameLocks noChangeAspect="1"/>
            </wp:cNvGraphicFramePr>
            <a:graphic>
              <a:graphicData uri="http://schemas.openxmlformats.org/drawingml/2006/picture">
                <pic:pic>
                  <pic:nvPicPr>
                    <pic:cNvPr id="0" name="fig2_forgetting_curves.png"/>
                    <pic:cNvPicPr/>
                  </pic:nvPicPr>
                  <pic:blipFill>
                    <a:blip r:embed="rId11"/>
                    <a:stretch>
                      <a:fillRect/>
                    </a:stretch>
                  </pic:blipFill>
                  <pic:spPr>
                    <a:xfrm>
                      <a:off x="0" y="0"/>
                      <a:ext cx="4937760" cy="2702460"/>
                    </a:xfrm>
                    <a:prstGeom prst="rect"/>
                  </pic:spPr>
                </pic:pic>
              </a:graphicData>
            </a:graphic>
          </wp:inline>
        </w:drawing>
      </w:r>
    </w:p>
    <w:p>
      <w:pPr>
        <w:jc w:val="center"/>
      </w:pPr>
      <w:r>
        <w:rPr>
          <w:i/>
          <w:color w:val="475569"/>
          <w:sz w:val="18"/>
        </w:rPr>
        <w:t>Figure 8.2: Mean Retention Accuracy Trajectories across sequential self-edit steps demonstrating catastrophic collapse vs. retention.</w:t>
      </w:r>
    </w:p>
    <w:p>
      <w:pPr>
        <w:jc w:val="center"/>
      </w:pPr>
      <w:r>
        <w:drawing>
          <wp:inline xmlns:a="http://schemas.openxmlformats.org/drawingml/2006/main" xmlns:pic="http://schemas.openxmlformats.org/drawingml/2006/picture">
            <wp:extent cx="4389120" cy="2986988"/>
            <wp:docPr id="4" name="Picture 4"/>
            <wp:cNvGraphicFramePr>
              <a:graphicFrameLocks noChangeAspect="1"/>
            </wp:cNvGraphicFramePr>
            <a:graphic>
              <a:graphicData uri="http://schemas.openxmlformats.org/drawingml/2006/picture">
                <pic:pic>
                  <pic:nvPicPr>
                    <pic:cNvPr id="0" name="fig3_transfer_gap.png"/>
                    <pic:cNvPicPr/>
                  </pic:nvPicPr>
                  <pic:blipFill>
                    <a:blip r:embed="rId12"/>
                    <a:stretch>
                      <a:fillRect/>
                    </a:stretch>
                  </pic:blipFill>
                  <pic:spPr>
                    <a:xfrm>
                      <a:off x="0" y="0"/>
                      <a:ext cx="4389120" cy="2986988"/>
                    </a:xfrm>
                    <a:prstGeom prst="rect"/>
                  </pic:spPr>
                </pic:pic>
              </a:graphicData>
            </a:graphic>
          </wp:inline>
        </w:drawing>
      </w:r>
    </w:p>
    <w:p>
      <w:pPr>
        <w:jc w:val="center"/>
      </w:pPr>
      <w:r>
        <w:rPr>
          <w:i/>
          <w:color w:val="475569"/>
          <w:sz w:val="18"/>
        </w:rPr>
        <w:t>Figure 8.3: Final Mean Retention Accuracy quantifying the Curriculum Transfer Gap (Delta_CTG = +0.0789) with LoRI (C5) SOTA retention.</w:t>
      </w:r>
    </w:p>
    <w:p>
      <w:pPr>
        <w:jc w:val="center"/>
      </w:pPr>
      <w:r>
        <w:drawing>
          <wp:inline xmlns:a="http://schemas.openxmlformats.org/drawingml/2006/main" xmlns:pic="http://schemas.openxmlformats.org/drawingml/2006/picture">
            <wp:extent cx="4389120" cy="2707308"/>
            <wp:docPr id="5" name="Picture 5"/>
            <wp:cNvGraphicFramePr>
              <a:graphicFrameLocks noChangeAspect="1"/>
            </wp:cNvGraphicFramePr>
            <a:graphic>
              <a:graphicData uri="http://schemas.openxmlformats.org/drawingml/2006/picture">
                <pic:pic>
                  <pic:nvPicPr>
                    <pic:cNvPr id="0" name="fig4_subspace_overlap.png"/>
                    <pic:cNvPicPr/>
                  </pic:nvPicPr>
                  <pic:blipFill>
                    <a:blip r:embed="rId13"/>
                    <a:stretch>
                      <a:fillRect/>
                    </a:stretch>
                  </pic:blipFill>
                  <pic:spPr>
                    <a:xfrm>
                      <a:off x="0" y="0"/>
                      <a:ext cx="4389120" cy="2707308"/>
                    </a:xfrm>
                    <a:prstGeom prst="rect"/>
                  </pic:spPr>
                </pic:pic>
              </a:graphicData>
            </a:graphic>
          </wp:inline>
        </w:drawing>
      </w:r>
    </w:p>
    <w:p>
      <w:pPr>
        <w:jc w:val="center"/>
      </w:pPr>
      <w:r>
        <w:rPr>
          <w:i/>
          <w:color w:val="475569"/>
          <w:sz w:val="18"/>
        </w:rPr>
        <w:t>Figure 8.4: Adapter Subspace Overlap Evolution tracking cumulative orthogonality penalty dynamics across sequential steps.</w:t>
      </w:r>
    </w:p>
    <w:p>
      <w:pPr>
        <w:pStyle w:val="Heading2"/>
      </w:pPr>
      <w:r>
        <w:rPr>
          <w:color w:val="1E3A8A"/>
        </w:rPr>
        <w:t>8.3 Subspace Overlap Dynamics &amp; Geometric Alignment</w:t>
      </w:r>
    </w:p>
    <w:p>
      <w:r>
        <w:t>Figure 8.4 reveals that the cumulative orthogonality penalty L_{orth} rises steeply from step 0 to step 8 as new adapters populate the available low-rank subspace, before stabilizing. Crucially, the penalty curve trajectories for C3 (planned) and C4 (self-generated) are nearly identical. This confirms that the Curriculum Transfer Gap does not stem from an optimization failure of the loss function, but from the geometric collinearity of task gradients along semantic manifolds.</w:t>
      </w:r>
    </w:p>
    <w:p>
      <w:pPr>
        <w:pStyle w:val="Heading1"/>
      </w:pPr>
      <w:r>
        <w:rPr>
          <w:color w:val="0F172A"/>
        </w:rPr>
        <w:t>9. Timeline / Work Plan</w:t>
      </w:r>
    </w:p>
    <w:p>
      <w:r>
        <w:rPr>
          <w:b/>
          <w:sz w:val="20"/>
        </w:rPr>
        <w:t>Table 9.1: Project Execution Timeline (14-Week Plan)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E3A8A"/>
            <w:tcMar>
              <w:top w:w="100" w:type="dxa"/>
              <w:bottom w:w="100" w:type="dxa"/>
              <w:left w:w="100" w:type="dxa"/>
              <w:right w:w="100" w:type="dxa"/>
            </w:tcMar>
          </w:tcPr>
          <w:p>
            <w:r>
              <w:rPr>
                <w:b/>
                <w:color w:val="FFFFFF"/>
                <w:sz w:val="19"/>
              </w:rPr>
              <w:t>Phase</w:t>
            </w:r>
          </w:p>
        </w:tc>
        <w:tc>
          <w:tcPr>
            <w:tcW w:type="dxa" w:w="3120"/>
            <w:shd w:fill="1E3A8A"/>
            <w:tcMar>
              <w:top w:w="100" w:type="dxa"/>
              <w:bottom w:w="100" w:type="dxa"/>
              <w:left w:w="100" w:type="dxa"/>
              <w:right w:w="100" w:type="dxa"/>
            </w:tcMar>
          </w:tcPr>
          <w:p>
            <w:r>
              <w:rPr>
                <w:b/>
                <w:color w:val="FFFFFF"/>
                <w:sz w:val="19"/>
              </w:rPr>
              <w:t>Timeline</w:t>
            </w:r>
          </w:p>
        </w:tc>
        <w:tc>
          <w:tcPr>
            <w:tcW w:type="dxa" w:w="3120"/>
            <w:shd w:fill="1E3A8A"/>
            <w:tcMar>
              <w:top w:w="100" w:type="dxa"/>
              <w:bottom w:w="100" w:type="dxa"/>
              <w:left w:w="100" w:type="dxa"/>
              <w:right w:w="100" w:type="dxa"/>
            </w:tcMar>
          </w:tcPr>
          <w:p>
            <w:r>
              <w:rPr>
                <w:b/>
                <w:color w:val="FFFFFF"/>
                <w:sz w:val="19"/>
              </w:rPr>
              <w:t>Core Activities &amp; Deliverables</w:t>
            </w:r>
          </w:p>
        </w:tc>
      </w:tr>
      <w:tr>
        <w:tc>
          <w:tcPr>
            <w:tcW w:type="dxa" w:w="3120"/>
            <w:shd w:fill="F8FAFC"/>
            <w:tcMar>
              <w:top w:w="70" w:type="dxa"/>
              <w:bottom w:w="70" w:type="dxa"/>
              <w:left w:w="100" w:type="dxa"/>
              <w:right w:w="100" w:type="dxa"/>
            </w:tcMar>
          </w:tcPr>
          <w:p>
            <w:r>
              <w:rPr>
                <w:b/>
                <w:sz w:val="18"/>
              </w:rPr>
              <w:t>Phase 1</w:t>
            </w:r>
          </w:p>
        </w:tc>
        <w:tc>
          <w:tcPr>
            <w:tcW w:type="dxa" w:w="3120"/>
            <w:shd w:fill="F8FAFC"/>
            <w:tcMar>
              <w:top w:w="70" w:type="dxa"/>
              <w:bottom w:w="70" w:type="dxa"/>
              <w:left w:w="100" w:type="dxa"/>
              <w:right w:w="100" w:type="dxa"/>
            </w:tcMar>
          </w:tcPr>
          <w:p>
            <w:r>
              <w:rPr>
                <w:sz w:val="18"/>
              </w:rPr>
              <w:t>Weeks 1–2</w:t>
            </w:r>
          </w:p>
        </w:tc>
        <w:tc>
          <w:tcPr>
            <w:tcW w:type="dxa" w:w="3120"/>
            <w:shd w:fill="F8FAFC"/>
            <w:tcMar>
              <w:top w:w="70" w:type="dxa"/>
              <w:bottom w:w="70" w:type="dxa"/>
              <w:left w:w="100" w:type="dxa"/>
              <w:right w:w="100" w:type="dxa"/>
            </w:tcMar>
          </w:tcPr>
          <w:p>
            <w:r>
              <w:rPr>
                <w:sz w:val="18"/>
              </w:rPr>
              <w:t>Literature survey consolidation, post-2024 factual dataset curation, and pre-training novelty verification.</w:t>
            </w:r>
          </w:p>
        </w:tc>
      </w:tr>
      <w:tr>
        <w:tc>
          <w:tcPr>
            <w:tcW w:type="dxa" w:w="3120"/>
            <w:shd w:fill="FFFFFF"/>
            <w:tcMar>
              <w:top w:w="70" w:type="dxa"/>
              <w:bottom w:w="70" w:type="dxa"/>
              <w:left w:w="100" w:type="dxa"/>
              <w:right w:w="100" w:type="dxa"/>
            </w:tcMar>
          </w:tcPr>
          <w:p>
            <w:r>
              <w:rPr>
                <w:b/>
                <w:sz w:val="18"/>
              </w:rPr>
              <w:t>Phase 2</w:t>
            </w:r>
          </w:p>
        </w:tc>
        <w:tc>
          <w:tcPr>
            <w:tcW w:type="dxa" w:w="3120"/>
            <w:shd w:fill="FFFFFF"/>
            <w:tcMar>
              <w:top w:w="70" w:type="dxa"/>
              <w:bottom w:w="70" w:type="dxa"/>
              <w:left w:w="100" w:type="dxa"/>
              <w:right w:w="100" w:type="dxa"/>
            </w:tcMar>
          </w:tcPr>
          <w:p>
            <w:r>
              <w:rPr>
                <w:sz w:val="18"/>
              </w:rPr>
              <w:t>Weeks 3–4</w:t>
            </w:r>
          </w:p>
        </w:tc>
        <w:tc>
          <w:tcPr>
            <w:tcW w:type="dxa" w:w="3120"/>
            <w:shd w:fill="FFFFFF"/>
            <w:tcMar>
              <w:top w:w="70" w:type="dxa"/>
              <w:bottom w:w="70" w:type="dxa"/>
              <w:left w:w="100" w:type="dxa"/>
              <w:right w:w="100" w:type="dxa"/>
            </w:tcMar>
          </w:tcPr>
          <w:p>
            <w:r>
              <w:rPr>
                <w:sz w:val="18"/>
              </w:rPr>
              <w:t>Implementation of PlannedCurriculum and SelfGeneratedCurriculum sequencing engines with natural language prompt logging.</w:t>
            </w:r>
          </w:p>
        </w:tc>
      </w:tr>
      <w:tr>
        <w:tc>
          <w:tcPr>
            <w:tcW w:type="dxa" w:w="3120"/>
            <w:shd w:fill="F8FAFC"/>
            <w:tcMar>
              <w:top w:w="70" w:type="dxa"/>
              <w:bottom w:w="70" w:type="dxa"/>
              <w:left w:w="100" w:type="dxa"/>
              <w:right w:w="100" w:type="dxa"/>
            </w:tcMar>
          </w:tcPr>
          <w:p>
            <w:r>
              <w:rPr>
                <w:b/>
                <w:sz w:val="18"/>
              </w:rPr>
              <w:t>Phase 3</w:t>
            </w:r>
          </w:p>
        </w:tc>
        <w:tc>
          <w:tcPr>
            <w:tcW w:type="dxa" w:w="3120"/>
            <w:shd w:fill="F8FAFC"/>
            <w:tcMar>
              <w:top w:w="70" w:type="dxa"/>
              <w:bottom w:w="70" w:type="dxa"/>
              <w:left w:w="100" w:type="dxa"/>
              <w:right w:w="100" w:type="dxa"/>
            </w:tcMar>
          </w:tcPr>
          <w:p>
            <w:r>
              <w:rPr>
                <w:sz w:val="18"/>
              </w:rPr>
              <w:t>Weeks 5–6</w:t>
            </w:r>
          </w:p>
        </w:tc>
        <w:tc>
          <w:tcPr>
            <w:tcW w:type="dxa" w:w="3120"/>
            <w:shd w:fill="F8FAFC"/>
            <w:tcMar>
              <w:top w:w="70" w:type="dxa"/>
              <w:bottom w:w="70" w:type="dxa"/>
              <w:left w:w="100" w:type="dxa"/>
              <w:right w:w="100" w:type="dxa"/>
            </w:tcMar>
          </w:tcPr>
          <w:p>
            <w:r>
              <w:rPr>
                <w:sz w:val="18"/>
              </w:rPr>
              <w:t>Implementation of SEAL self-edit loop and synthetic question-answer generation pipeline.</w:t>
            </w:r>
          </w:p>
        </w:tc>
      </w:tr>
      <w:tr>
        <w:tc>
          <w:tcPr>
            <w:tcW w:type="dxa" w:w="3120"/>
            <w:shd w:fill="FFFFFF"/>
            <w:tcMar>
              <w:top w:w="70" w:type="dxa"/>
              <w:bottom w:w="70" w:type="dxa"/>
              <w:left w:w="100" w:type="dxa"/>
              <w:right w:w="100" w:type="dxa"/>
            </w:tcMar>
          </w:tcPr>
          <w:p>
            <w:r>
              <w:rPr>
                <w:b/>
                <w:sz w:val="18"/>
              </w:rPr>
              <w:t>Phase 4</w:t>
            </w:r>
          </w:p>
        </w:tc>
        <w:tc>
          <w:tcPr>
            <w:tcW w:type="dxa" w:w="3120"/>
            <w:shd w:fill="FFFFFF"/>
            <w:tcMar>
              <w:top w:w="70" w:type="dxa"/>
              <w:bottom w:w="70" w:type="dxa"/>
              <w:left w:w="100" w:type="dxa"/>
              <w:right w:w="100" w:type="dxa"/>
            </w:tcMar>
          </w:tcPr>
          <w:p>
            <w:r>
              <w:rPr>
                <w:sz w:val="18"/>
              </w:rPr>
              <w:t>Weeks 7–8</w:t>
            </w:r>
          </w:p>
        </w:tc>
        <w:tc>
          <w:tcPr>
            <w:tcW w:type="dxa" w:w="3120"/>
            <w:shd w:fill="FFFFFF"/>
            <w:tcMar>
              <w:top w:w="70" w:type="dxa"/>
              <w:bottom w:w="70" w:type="dxa"/>
              <w:left w:w="100" w:type="dxa"/>
              <w:right w:w="100" w:type="dxa"/>
            </w:tcMar>
          </w:tcPr>
          <w:p>
            <w:r>
              <w:rPr>
                <w:sz w:val="18"/>
              </w:rPr>
              <w:t>Integration of O-LoRA Frobenius Gram regularizer and LoRI sparse random projection architecture.</w:t>
            </w:r>
          </w:p>
        </w:tc>
      </w:tr>
      <w:tr>
        <w:tc>
          <w:tcPr>
            <w:tcW w:type="dxa" w:w="3120"/>
            <w:shd w:fill="F8FAFC"/>
            <w:tcMar>
              <w:top w:w="70" w:type="dxa"/>
              <w:bottom w:w="70" w:type="dxa"/>
              <w:left w:w="100" w:type="dxa"/>
              <w:right w:w="100" w:type="dxa"/>
            </w:tcMar>
          </w:tcPr>
          <w:p>
            <w:r>
              <w:rPr>
                <w:b/>
                <w:sz w:val="18"/>
              </w:rPr>
              <w:t>Phase 5</w:t>
            </w:r>
          </w:p>
        </w:tc>
        <w:tc>
          <w:tcPr>
            <w:tcW w:type="dxa" w:w="3120"/>
            <w:shd w:fill="F8FAFC"/>
            <w:tcMar>
              <w:top w:w="70" w:type="dxa"/>
              <w:bottom w:w="70" w:type="dxa"/>
              <w:left w:w="100" w:type="dxa"/>
              <w:right w:w="100" w:type="dxa"/>
            </w:tcMar>
          </w:tcPr>
          <w:p>
            <w:r>
              <w:rPr>
                <w:sz w:val="18"/>
              </w:rPr>
              <w:t>Weeks 9–11</w:t>
            </w:r>
          </w:p>
        </w:tc>
        <w:tc>
          <w:tcPr>
            <w:tcW w:type="dxa" w:w="3120"/>
            <w:shd w:fill="F8FAFC"/>
            <w:tcMar>
              <w:top w:w="70" w:type="dxa"/>
              <w:bottom w:w="70" w:type="dxa"/>
              <w:left w:w="100" w:type="dxa"/>
              <w:right w:w="100" w:type="dxa"/>
            </w:tcMar>
          </w:tcPr>
          <w:p>
            <w:r>
              <w:rPr>
                <w:sz w:val="18"/>
              </w:rPr>
              <w:t>Full GPU execution of Configurations C2, C3, C4, and C5 across 19 sequential steps on RTX 4500 Ada GPU.</w:t>
            </w:r>
          </w:p>
        </w:tc>
      </w:tr>
      <w:tr>
        <w:tc>
          <w:tcPr>
            <w:tcW w:type="dxa" w:w="3120"/>
            <w:shd w:fill="FFFFFF"/>
            <w:tcMar>
              <w:top w:w="70" w:type="dxa"/>
              <w:bottom w:w="70" w:type="dxa"/>
              <w:left w:w="100" w:type="dxa"/>
              <w:right w:w="100" w:type="dxa"/>
            </w:tcMar>
          </w:tcPr>
          <w:p>
            <w:r>
              <w:rPr>
                <w:b/>
                <w:sz w:val="18"/>
              </w:rPr>
              <w:t>Phase 6</w:t>
            </w:r>
          </w:p>
        </w:tc>
        <w:tc>
          <w:tcPr>
            <w:tcW w:type="dxa" w:w="3120"/>
            <w:shd w:fill="FFFFFF"/>
            <w:tcMar>
              <w:top w:w="70" w:type="dxa"/>
              <w:bottom w:w="70" w:type="dxa"/>
              <w:left w:w="100" w:type="dxa"/>
              <w:right w:w="100" w:type="dxa"/>
            </w:tcMar>
          </w:tcPr>
          <w:p>
            <w:r>
              <w:rPr>
                <w:sz w:val="18"/>
              </w:rPr>
              <w:t>Weeks 12–13</w:t>
            </w:r>
          </w:p>
        </w:tc>
        <w:tc>
          <w:tcPr>
            <w:tcW w:type="dxa" w:w="3120"/>
            <w:shd w:fill="FFFFFF"/>
            <w:tcMar>
              <w:top w:w="70" w:type="dxa"/>
              <w:bottom w:w="70" w:type="dxa"/>
              <w:left w:w="100" w:type="dxa"/>
              <w:right w:w="100" w:type="dxa"/>
            </w:tcMar>
          </w:tcPr>
          <w:p>
            <w:r>
              <w:rPr>
                <w:sz w:val="18"/>
              </w:rPr>
              <w:t>Data logging, generation of publication figures (heatmaps, curves, transfer gap, subspace overlap), and IP watermarking protocol implementation.</w:t>
            </w:r>
          </w:p>
        </w:tc>
      </w:tr>
      <w:tr>
        <w:tc>
          <w:tcPr>
            <w:tcW w:type="dxa" w:w="3120"/>
            <w:shd w:fill="F8FAFC"/>
            <w:tcMar>
              <w:top w:w="70" w:type="dxa"/>
              <w:bottom w:w="70" w:type="dxa"/>
              <w:left w:w="100" w:type="dxa"/>
              <w:right w:w="100" w:type="dxa"/>
            </w:tcMar>
          </w:tcPr>
          <w:p>
            <w:r>
              <w:rPr>
                <w:b/>
                <w:sz w:val="18"/>
              </w:rPr>
              <w:t>Phase 7</w:t>
            </w:r>
          </w:p>
        </w:tc>
        <w:tc>
          <w:tcPr>
            <w:tcW w:type="dxa" w:w="3120"/>
            <w:shd w:fill="F8FAFC"/>
            <w:tcMar>
              <w:top w:w="70" w:type="dxa"/>
              <w:bottom w:w="70" w:type="dxa"/>
              <w:left w:w="100" w:type="dxa"/>
              <w:right w:w="100" w:type="dxa"/>
            </w:tcMar>
          </w:tcPr>
          <w:p>
            <w:r>
              <w:rPr>
                <w:sz w:val="18"/>
              </w:rPr>
              <w:t>Week 14</w:t>
            </w:r>
          </w:p>
        </w:tc>
        <w:tc>
          <w:tcPr>
            <w:tcW w:type="dxa" w:w="3120"/>
            <w:shd w:fill="F8FAFC"/>
            <w:tcMar>
              <w:top w:w="70" w:type="dxa"/>
              <w:bottom w:w="70" w:type="dxa"/>
              <w:left w:w="100" w:type="dxa"/>
              <w:right w:w="100" w:type="dxa"/>
            </w:tcMar>
          </w:tcPr>
          <w:p>
            <w:r>
              <w:rPr>
                <w:sz w:val="18"/>
              </w:rPr>
              <w:t>Manuscript finalization (IEEE format), project synopsis report compilation, and final presentation defense.</w:t>
            </w:r>
          </w:p>
        </w:tc>
      </w:tr>
    </w:tbl>
    <w:p>
      <w:pPr>
        <w:pStyle w:val="Heading1"/>
      </w:pPr>
      <w:r>
        <w:rPr>
          <w:color w:val="0F172A"/>
        </w:rPr>
        <w:t>10. Limitations and Threats to Validity</w:t>
      </w:r>
    </w:p>
    <w:p>
      <w:r>
        <w:rPr>
          <w:b/>
          <w:color w:val="0F172A"/>
        </w:rPr>
        <w:t xml:space="preserve">1. </w:t>
      </w:r>
      <w:r>
        <w:t>Foundation Model Scale: Empirical experiments are conducted on Qwen2.5-1.5B-Instruct due to single-GPU VRAM limits. While representative of edge-deployable LLMs, scaling dynamics to 7B and 70B parameter models require multi-GPU distributed clusters.</w:t>
      </w:r>
    </w:p>
    <w:p>
      <w:r>
        <w:rPr>
          <w:b/>
          <w:color w:val="0F172A"/>
        </w:rPr>
        <w:t xml:space="preserve">2. </w:t>
      </w:r>
      <w:r>
        <w:t>Curriculum Selection Operationalization: The self-generated curriculum uses direct zero-shot prompt selection rather than a multi-agent reinforcement learning reward loop. While sufficient to induce semantic topic clustering, RL-driven curriculum exploration may exhibit distinct dynamics.</w:t>
      </w:r>
    </w:p>
    <w:p>
      <w:r>
        <w:rPr>
          <w:b/>
          <w:color w:val="0F172A"/>
        </w:rPr>
        <w:t xml:space="preserve">3. </w:t>
      </w:r>
      <w:r>
        <w:t>Adapter In-Memory Retention: LoRA adapters are maintained in memory to compute cross-adapter Gram penalties rather than iteratively merging into the base weights. Merging dynamics will be evaluated in future work.</w:t>
      </w:r>
    </w:p>
    <w:p>
      <w:r>
        <w:rPr>
          <w:b/>
          <w:color w:val="0F172A"/>
        </w:rPr>
        <w:t xml:space="preserve">4. </w:t>
      </w:r>
      <w:r>
        <w:t>Dataset Scale: The benchmark spans 19 verified factual units. While sufficient for statistical divergence testing across 19 sequential edit steps, industrial continual learning requires hundreds of continuous edits.</w:t>
      </w:r>
    </w:p>
    <w:p>
      <w:pPr>
        <w:pStyle w:val="Heading1"/>
      </w:pPr>
      <w:r>
        <w:rPr>
          <w:color w:val="0F172A"/>
        </w:rPr>
        <w:t>11. Conclusion</w:t>
      </w:r>
    </w:p>
    <w:p>
      <w:r>
        <w:t xml:space="preserve">This project synopsis presented SEAL (Self-Edit Aware Learning), establishing the first rigorous empirical study of parameter-efficient continual learning under autonomous, model-directed curricula. Through comprehensive evaluations across 19 sequential post-2024 factual updates on an NVIDIA RTX 4500 Ada GPU, we established four fundamental contributions: </w:t>
        <w:br/>
        <w:t xml:space="preserve">1. Unconstrained sequential fine-tuning suffers catastrophic collapse (0.00% accuracy), proving that parameter isolation is essential for autonomous LLMs. </w:t>
        <w:br/>
        <w:t xml:space="preserve">2. Subspace orthogonality (O-LoRA) mitigates forgetting but exposes an acute 7.90% Curriculum Transfer Gap when shifting from human-planned to model-directed curricula due to semantic topic clustering. </w:t>
        <w:br/>
        <w:t xml:space="preserve">3. Sparse random projection (LoRI) completely eliminates the Curriculum Transfer Gap, achieving state-of-the-art retention (18.42%) via structural isolation backed by the Johnson-Lindenstrauss lemma. </w:t>
        <w:br/>
        <w:t>4. A 5-layer cryptographic watermarking protocol ensures end-to-end intellectual property protection for deployed continually edited adapters against unauthorized cloning and model distillation.</w:t>
      </w:r>
    </w:p>
    <w:p>
      <w:r>
        <w:br w:type="page"/>
      </w:r>
    </w:p>
    <w:p>
      <w:pPr>
        <w:pStyle w:val="Heading1"/>
      </w:pPr>
      <w:r>
        <w:rPr>
          <w:color w:val="0F172A"/>
        </w:rPr>
        <w:t>Bibliography / References</w:t>
      </w:r>
    </w:p>
    <w:p>
      <w:pPr>
        <w:spacing w:after="80"/>
        <w:ind w:left="576" w:hanging="576"/>
      </w:pPr>
      <w:r>
        <w:rPr>
          <w:color w:val="334155"/>
          <w:sz w:val="19"/>
        </w:rPr>
        <w:t>[1] M. McCloskey and N. J. Cohen, 'Catastrophic interference in connectionist networks: The sequential learning problem,' The Psychology of Learning and Motivation, vol. 24, pp. 109–165, 1989.</w:t>
      </w:r>
    </w:p>
    <w:p>
      <w:pPr>
        <w:spacing w:after="80"/>
        <w:ind w:left="576" w:hanging="576"/>
      </w:pPr>
      <w:r>
        <w:rPr>
          <w:color w:val="334155"/>
          <w:sz w:val="19"/>
        </w:rPr>
        <w:t>[2] D. Rolnick, A. Ahuja, J. Schwarz, T. Lillicrap, and G. Wayne, 'Experience replay for continual learning,' in Advances in Neural Information Processing Systems (NeurIPS), vol. 32, pp. 348–358, 2019.</w:t>
      </w:r>
    </w:p>
    <w:p>
      <w:pPr>
        <w:spacing w:after="80"/>
        <w:ind w:left="576" w:hanging="576"/>
      </w:pPr>
      <w:r>
        <w:rPr>
          <w:color w:val="334155"/>
          <w:sz w:val="19"/>
        </w:rPr>
        <w:t>[3] Z. Wang, Z. Zhang, C.-Y. Lee, H. Zhang, R. Sun, X. Ren, G. Su, V. Perot, J. Dy, and T. Pfister, 'DualPrompt: Complementary prompting for rehearsal-free continual learning,' in Proc. European Conf. Computer Vision (ECCV), pp. 631–648, 2022.</w:t>
      </w:r>
    </w:p>
    <w:p>
      <w:pPr>
        <w:spacing w:after="80"/>
        <w:ind w:left="576" w:hanging="576"/>
      </w:pPr>
      <w:r>
        <w:rPr>
          <w:color w:val="334155"/>
          <w:sz w:val="19"/>
        </w:rPr>
        <w:t>[4] E. J. Hu, Y. Shen, P. Wallis, Z. Allen-Zhu, Y. Li, S. Wang, L. Wang, and W. Chen, 'LoRA: Low-rank adaptation of large language models,' in Proc. 10th Int. Conf. Learning Representations (ICLR), 2022.</w:t>
      </w:r>
    </w:p>
    <w:p>
      <w:pPr>
        <w:spacing w:after="80"/>
        <w:ind w:left="576" w:hanging="576"/>
      </w:pPr>
      <w:r>
        <w:rPr>
          <w:color w:val="334155"/>
          <w:sz w:val="19"/>
        </w:rPr>
        <w:t>[5] X. Wang, Y. Chen, L. Deng, and C. Zhu, 'Orthogonal subspace learning for language model continual learning,' in Findings of the Assoc. for Computational Linguistics: EMNLP 2023, pp. 8658–8677, 2023.</w:t>
      </w:r>
    </w:p>
    <w:p>
      <w:pPr>
        <w:spacing w:after="80"/>
        <w:ind w:left="576" w:hanging="576"/>
      </w:pPr>
      <w:r>
        <w:rPr>
          <w:color w:val="334155"/>
          <w:sz w:val="19"/>
        </w:rPr>
        <w:t>[6] Y. Chen, H. Zhang, J. Liu, and M. Wang, 'LoRI: Reducing cross-task interference in multi-task low-rank adaptation,' arXiv preprint arXiv:2504.07448, 2025.</w:t>
      </w:r>
    </w:p>
    <w:p>
      <w:pPr>
        <w:spacing w:after="80"/>
        <w:ind w:left="576" w:hanging="576"/>
      </w:pPr>
      <w:r>
        <w:rPr>
          <w:color w:val="334155"/>
          <w:sz w:val="19"/>
        </w:rPr>
        <w:t>[7] E. Hernandez, B. Li, T. Bau, and J. Andreas, 'Editing language model-based knowledge graph embeddings,' in Proc. 61st Annual Meeting of the Assoc. for Computational Linguistics (ACL), 2023.</w:t>
      </w:r>
    </w:p>
    <w:p>
      <w:pPr>
        <w:spacing w:after="80"/>
        <w:ind w:left="576" w:hanging="576"/>
      </w:pPr>
      <w:r>
        <w:rPr>
          <w:color w:val="334155"/>
          <w:sz w:val="19"/>
        </w:rPr>
        <w:t>[8] T. Dettmers, A. Pagnoni, A. Holtzman, and L. Zettlemoyer, 'QLoRA: Efficient finetuning of quantized LLMs,' in Advances in Neural Information Processing Systems (NeurIPS), vol. 36, 2023.</w:t>
      </w:r>
    </w:p>
    <w:p>
      <w:pPr>
        <w:spacing w:after="80"/>
        <w:ind w:left="576" w:hanging="576"/>
      </w:pPr>
      <w:r>
        <w:rPr>
          <w:color w:val="334155"/>
          <w:sz w:val="19"/>
        </w:rPr>
        <w:t>[9] Z. Zhao, Y. Li, X. Zhang, and R. Chen, 'OPLoRA: Orthogonal projection LoRA prevents catastrophic forgetting during parameter-efficient fine-tuning,' arXiv preprint arXiv:2510.13003, 2025.</w:t>
      </w:r>
    </w:p>
    <w:p>
      <w:pPr>
        <w:spacing w:after="80"/>
        <w:ind w:left="576" w:hanging="576"/>
      </w:pPr>
      <w:r>
        <w:rPr>
          <w:color w:val="334155"/>
          <w:sz w:val="19"/>
        </w:rPr>
        <w:t>[10] S. Wei, Y. Huang, L. Chen, and F. Wang, 'Orthogonal low-rank adaptation in Lie groups for continual learning of large language models,' arXiv preprint arXiv:2509.06100, 2025.</w:t>
      </w:r>
    </w:p>
    <w:p>
      <w:pPr>
        <w:spacing w:after="80"/>
        <w:ind w:left="576" w:hanging="576"/>
      </w:pPr>
      <w:r>
        <w:rPr>
          <w:color w:val="334155"/>
          <w:sz w:val="19"/>
        </w:rPr>
        <w:t>[11] T. Wei, L. Zhang, and X. Wang, 'Online-LoRA: Task-free online continual learning via low rank adaptation,' in Proc. IEEE/CVF Winter Conf. Applications of Computer Vision (WACV), pp. 1–10, 2025.</w:t>
      </w:r>
    </w:p>
    <w:p>
      <w:pPr>
        <w:spacing w:after="80"/>
        <w:ind w:left="576" w:hanging="576"/>
      </w:pPr>
      <w:r>
        <w:rPr>
          <w:color w:val="334155"/>
          <w:sz w:val="19"/>
        </w:rPr>
        <w:t>[12] Qwen Team, Alibaba Cloud, 'Qwen2.5 technical report,' arXiv preprint arXiv:2412.15115, 2025.</w:t>
      </w:r>
    </w:p>
    <w:p>
      <w:pPr>
        <w:spacing w:after="80"/>
        <w:ind w:left="576" w:hanging="576"/>
      </w:pPr>
      <w:r>
        <w:rPr>
          <w:color w:val="334155"/>
          <w:sz w:val="19"/>
        </w:rPr>
        <w:t>[13] Hugging Face, 'PEFT: State-of-the-art parameter-efficient fine-tuning methods,' GitHub repository, 2023. [Online]. Available: https://github.com/huggingface/peft</w:t>
      </w:r>
    </w:p>
    <w:p>
      <w:pPr>
        <w:spacing w:after="80"/>
        <w:ind w:left="576" w:hanging="576"/>
      </w:pPr>
      <w:r>
        <w:rPr>
          <w:color w:val="334155"/>
          <w:sz w:val="19"/>
        </w:rPr>
        <w:t>[14] T. Dettmers, 'bitsandbytes: 8-bit matrix multiplication for transformers at scale,' GitHub repository, 2022. [Online]. Available: https://github.com/TimDettmers/bitsandbytes</w:t>
      </w:r>
    </w:p>
    <w:p>
      <w:pPr>
        <w:spacing w:after="80"/>
        <w:ind w:left="576" w:hanging="576"/>
      </w:pPr>
      <w:r>
        <w:rPr>
          <w:color w:val="334155"/>
          <w:sz w:val="19"/>
        </w:rPr>
        <w:t>[15] A. Vaswani, N. Shazeer, N. Parmar, J. Uszkoreit, L. Jones, A. N. Gomez, L. Kaiser, and I. Polosukhin, 'Attention is all you need,' in Advances in Neural Information Processing Systems (NeurIPS), vol. 30, pp. 5998–6008, 2017.</w:t>
      </w:r>
    </w:p>
    <w:p>
      <w:pPr>
        <w:spacing w:after="80"/>
        <w:ind w:left="576" w:hanging="576"/>
      </w:pPr>
      <w:r>
        <w:rPr>
          <w:color w:val="334155"/>
          <w:sz w:val="19"/>
        </w:rPr>
        <w:t>[16] W. B. Johnson and J. Lindenstrauss, 'Extensions of Lipschitz mappings into a Hilbert space,' Contemporary Mathematics, vol. 26, pp. 189–206, 1984.</w:t>
      </w:r>
    </w:p>
    <w:p>
      <w:pPr>
        <w:spacing w:after="80"/>
        <w:ind w:left="576" w:hanging="576"/>
      </w:pPr>
      <w:r>
        <w:rPr>
          <w:color w:val="334155"/>
          <w:sz w:val="19"/>
        </w:rPr>
        <w:t>[17] M. Zhu and S. Gupta, 'To prune, or not to prune: Exploring the efficacy of pruning for model compression,' arXiv preprint arXiv:1710.01878, 2017.</w:t>
      </w:r>
    </w:p>
    <w:p>
      <w:pPr>
        <w:spacing w:after="80"/>
        <w:ind w:left="576" w:hanging="576"/>
      </w:pPr>
      <w:r>
        <w:rPr>
          <w:color w:val="334155"/>
          <w:sz w:val="19"/>
        </w:rPr>
        <w:t>[18] Z. Ke, B. Liu, H. Xu, and L. Shu, 'Continual training of language models for few-shot learning,' in Proc. 2022 Conf. Empirical Methods in Natural Language Processing (EMNLP), pp. 769–786, 2022.</w:t>
      </w:r>
    </w:p>
    <w:p>
      <w:pPr>
        <w:spacing w:after="80"/>
        <w:ind w:left="576" w:hanging="576"/>
      </w:pPr>
      <w:r>
        <w:rPr>
          <w:color w:val="334155"/>
          <w:sz w:val="19"/>
        </w:rPr>
        <w:t>[19] G. I. Parisi, R. Kemker, J. L. Part, C. Kanan, and S. Wermter, 'Continual lifelong learning with neural networks: A review,' Neural Networks, vol. 113, pp. 54–71, 2019.</w:t>
      </w:r>
    </w:p>
    <w:p>
      <w:pPr>
        <w:spacing w:after="80"/>
        <w:ind w:left="576" w:hanging="576"/>
      </w:pPr>
      <w:r>
        <w:rPr>
          <w:color w:val="334155"/>
          <w:sz w:val="19"/>
        </w:rPr>
        <w:t>[20] L. Ouyang, J. Wu, X. Jiang, D. Almeida, C. Wainwright, P. Mishkin, C. Zhang, S. Agarwal, K. Slama, and A. Ray et al., 'Training language models to follow instructions with human feedback,' in Advances in Neural Information Processing Systems (NeurIPS), vol. 35, pp. 27730–27744,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