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start"/>
        <w:bidi w:val="1"/>
      </w:pPr>
      <w:r>
        <w:rPr>
          <w:rFonts w:ascii="Arial" w:hAnsi="Arial" w:cs="Arial"/>
          <w:color w:val="000000"/>
          <w:lang w:val="ar-AE" w:bidi="ar-AE"/>
          <w:rtl w:val="1"/>
        </w:rPr>
        <w:t>قرار علمي بشأن تقوية البحث</w:t>
      </w:r>
    </w:p>
    <w:p>
      <w:pPr>
        <w:pStyle w:val="Subtitle"/>
        <w:jc w:val="start"/>
        <w:bidi w:val="1"/>
      </w:pPr>
      <w:r>
        <w:rPr>
          <w:rFonts w:ascii="Arial" w:hAnsi="Arial" w:cs="Arial"/>
          <w:color w:val="000000"/>
          <w:lang w:val="ar-AE" w:bidi="ar-AE"/>
          <w:rtl w:val="1"/>
        </w:rPr>
        <w:t>تقرير علمي للمؤلفين · النسخة الثانية</w:t>
      </w:r>
    </w:p>
    <w:p>
      <w:pPr>
        <w:jc w:val="start"/>
        <w:bidi w:val="1"/>
      </w:pPr>
      <w:r>
        <w:rPr>
          <w:rFonts w:ascii="Arial" w:hAnsi="Arial" w:cs="Arial"/>
          <w:color w:val="000000"/>
          <w:lang w:val="ar-AE" w:bidi="ar-AE"/>
          <w:rtl w:val="1"/>
        </w:rPr>
        <w:t>إعداد لمراجعة غسان ملكاوي وأحمد عبدالعزيز السيد</w:t>
      </w:r>
    </w:p>
    <w:p>
      <w:pPr>
        <w:jc w:val="start"/>
        <w:bidi w:val="1"/>
      </w:pPr>
      <w:r>
        <w:rPr>
          <w:rFonts w:ascii="Arial" w:hAnsi="Arial" w:cs="Arial"/>
          <w:color w:val="000000"/>
          <w:lang w:val="ar-AE" w:bidi="ar-AE"/>
          <w:rtl w:val="1"/>
        </w:rPr>
        <w:t xml:space="preserve">مسودة ثانية: تشمل متابعة الطاقة للأسابيع الجديدة وحدود قاعدتي التفسير بعد المراجعة المستقلة في </w:t>
      </w:r>
      <w:r>
        <w:rPr>
          <w:rFonts w:ascii="Calibri" w:hAnsi="Calibri" w:cs="Calibri"/>
          <w:color w:val="000000"/>
          <w:lang w:val="en-US" w:bidi="ar-AE"/>
          <w:rtl w:val="0"/>
        </w:rPr>
        <w:t>⁦27⁩</w:t>
      </w:r>
      <w:r>
        <w:rPr>
          <w:rFonts w:ascii="Arial" w:hAnsi="Arial" w:cs="Arial"/>
          <w:color w:val="000000"/>
          <w:lang w:val="ar-AE" w:bidi="ar-AE"/>
          <w:rtl w:val="1"/>
        </w:rPr>
        <w:t xml:space="preserve"> سبتمبر </w:t>
      </w:r>
      <w:r>
        <w:rPr>
          <w:rFonts w:ascii="Calibri" w:hAnsi="Calibri" w:cs="Calibri"/>
          <w:color w:val="000000"/>
          <w:lang w:val="en-US" w:bidi="ar-AE"/>
          <w:rtl w:val="0"/>
        </w:rPr>
        <w:t>⁦2026⁩</w:t>
      </w:r>
      <w:r>
        <w:rPr>
          <w:rFonts w:ascii="Arial" w:hAnsi="Arial" w:cs="Arial"/>
          <w:color w:val="000000"/>
          <w:lang w:val="ar-AE" w:bidi="ar-AE"/>
          <w:rtl w:val="1"/>
        </w:rPr>
        <w:t>. فحص الترميز العددي الاسمي ما زال مستقلًا وجاريًا، ولا تتضمن هذه النسخة نتيجته.</w:t>
      </w:r>
    </w:p>
    <w:p>
      <w:pPr>
        <w:pStyle w:val="Heading1"/>
        <w:jc w:val="start"/>
        <w:bidi w:val="1"/>
      </w:pPr>
      <w:r>
        <w:rPr>
          <w:rFonts w:ascii="Arial" w:hAnsi="Arial" w:cs="Arial"/>
          <w:color w:val="000000"/>
          <w:lang w:val="ar-AE" w:bidi="ar-AE"/>
          <w:rtl w:val="1"/>
        </w:rPr>
        <w:t>الحكم الحالي</w:t>
      </w:r>
    </w:p>
    <w:p>
      <w:pPr>
        <w:jc w:val="start"/>
        <w:bidi w:val="1"/>
      </w:pPr>
      <w:r>
        <w:rPr>
          <w:rFonts w:ascii="Arial" w:hAnsi="Arial" w:cs="Arial"/>
          <w:color w:val="000000"/>
          <w:lang w:val="ar-AE" w:bidi="ar-AE"/>
          <w:rtl w:val="1"/>
        </w:rPr>
        <w:t>أصبح للبحث دليل أقوى وقابل للفحص على سؤال محدد: هل تكفي معرفة جميع الحالات التي تمر بها منظومة الكهرباء، وعدد مرات حدوثها في كل ساعة من اليوم، للحكم بأن تشغيلها ممكن؟ في النموذج المختبر، الجواب لا. يمكن إبقاء هذه المعلومات نفسها، وتغيير ترتيب الحالات داخل الأيام، فتوجد خطة تشغيل للترتيب الأول ويستحيل أي تشغيل للترتيب الثاني تحت سقف الطاقة الأحفورية نفسه. هذا استنتاج مثبت لأمثلة محددة، وليس إثباتًا بأن كل طرق اختصار الزمن تفشل.</w:t>
      </w:r>
    </w:p>
    <w:p>
      <w:pPr>
        <w:jc w:val="start"/>
        <w:bidi w:val="1"/>
      </w:pPr>
      <w:r>
        <w:rPr>
          <w:rFonts w:ascii="Arial" w:hAnsi="Arial" w:cs="Arial"/>
          <w:color w:val="000000"/>
          <w:lang w:val="ar-AE" w:bidi="ar-AE"/>
          <w:rtl w:val="1"/>
        </w:rPr>
        <w:t xml:space="preserve">لا أصف النسخة الجديدة حتى هذه المرحلة بأنها جاهزة للإرسال إلى مجلة. المساهمة التي تسندها الأدلة هي مقارنة مضبوطة مع شهادات حسابية قابلة للفحص. أما أسبقية الفكرة العامة، أو تفوق خوارزمية جديدة، أو التعميم على شبكة مستقلة، فلم تثبت. الأدبيات السابقة تتناول بالفعل تجميع الزمن، والحدود العليا والدنيا، وربط الفترات بمعلومات الانتقال </w:t>
      </w:r>
      <w:r>
        <w:rPr>
          <w:rFonts w:ascii="Calibri" w:hAnsi="Calibri" w:cs="Calibri"/>
          <w:color w:val="000000"/>
          <w:lang w:val="en-US" w:bidi="ar-AE"/>
          <w:rtl w:val="0"/>
        </w:rPr>
        <w:t>⁦[1–3]⁩</w:t>
      </w:r>
      <w:r>
        <w:rPr>
          <w:rFonts w:ascii="Calibri" w:hAnsi="Calibri" w:cs="Calibri"/>
          <w:color w:val="000000"/>
          <w:lang w:val="en-US" w:bidi="ar-AE"/>
          <w:rtl w:val="0"/>
        </w:rPr>
        <w:t>.</w:t>
      </w:r>
    </w:p>
    <w:p>
      <w:pPr>
        <w:jc w:val="start"/>
        <w:bidi w:val="1"/>
      </w:pPr>
      <w:r>
        <w:rPr>
          <w:rFonts w:ascii="Arial" w:hAnsi="Arial" w:cs="Arial"/>
          <w:color w:val="000000"/>
          <w:lang w:val="ar-AE" w:bidi="ar-AE"/>
          <w:rtl w:val="1"/>
        </w:rPr>
        <w:t xml:space="preserve">توجد أيضًا شروط منشورة تضمن عدم فقدان المعلومات الزمنية في بعض النماذج، وأعمال تفصل أثر ترتيب الفترات عن أثر اختصار النموذج </w:t>
      </w:r>
      <w:r>
        <w:rPr>
          <w:rFonts w:ascii="Calibri" w:hAnsi="Calibri" w:cs="Calibri"/>
          <w:color w:val="000000"/>
          <w:lang w:val="en-US" w:bidi="ar-AE"/>
          <w:rtl w:val="0"/>
        </w:rPr>
        <w:t>⁦[4، 5]⁩</w:t>
      </w:r>
      <w:r>
        <w:rPr>
          <w:rFonts w:ascii="Arial" w:hAnsi="Arial" w:cs="Arial"/>
          <w:color w:val="000000"/>
          <w:lang w:val="ar-AE" w:bidi="ar-AE"/>
          <w:rtl w:val="1"/>
        </w:rPr>
        <w:t>. المقارنة هنا تحفظ المشاهدات المشتركة عند كل ساعة من اليوم؛ لا تحفظ المسار الكامل داخل اليوم ولا علاقات الانتقال بين الساعات. لذلك لا تثبت فشل الطرق التي تحتفظ بهذه المعلومات الإضافية.</w:t>
      </w:r>
    </w:p>
    <w:p>
      <w:pPr>
        <w:pStyle w:val="Heading1"/>
        <w:jc w:val="start"/>
        <w:bidi w:val="1"/>
      </w:pPr>
      <w:r>
        <w:rPr>
          <w:rFonts w:ascii="Arial" w:hAnsi="Arial" w:cs="Arial"/>
          <w:color w:val="000000"/>
          <w:lang w:val="ar-AE" w:bidi="ar-AE"/>
          <w:rtl w:val="1"/>
        </w:rPr>
        <w:t>الفكرة لشخص غير متخصص</w:t>
      </w:r>
    </w:p>
    <w:p>
      <w:pPr>
        <w:jc w:val="start"/>
        <w:bidi w:val="1"/>
      </w:pPr>
      <w:r>
        <w:rPr>
          <w:rFonts w:ascii="Arial" w:hAnsi="Arial" w:cs="Arial"/>
          <w:color w:val="000000"/>
          <w:lang w:val="ar-AE" w:bidi="ar-AE"/>
          <w:rtl w:val="1"/>
        </w:rPr>
        <w:t>تخيّل بطاقات، على كل بطاقة طلب الكهرباء وحالة توفر جميع المولدات في ساعة واحدة. حتى لو بقيت البطاقات نفسها، وبقيت بطاقة الساعة الثامنة ضمن مجموعة الساعات الثامنة، فإن إعادة توزيع بطاقات الساعات بين أيام الأسبوع مع تثبيت ساعة كل بطاقة قد تفرض على مولد أن يتوقف ثم يعود بسرعة أكبر مما تسمح به مدة التشغيل أو التوقف الدنيا. إحصاءات البطاقات وحدها قد تخفي هذا التعارض. البحث لا يكتفي بإظهار أن جدول تشغيل واحد فشل؛ بل يبحث عن برهان يمنع جميع الجداول الممكنة تحت الشروط المعلنة.</w:t>
      </w:r>
    </w:p>
    <w:p>
      <w:pPr>
        <w:jc w:val="start"/>
        <w:bidi w:val="1"/>
      </w:pPr>
      <w:r>
        <w:rPr>
          <w:rFonts w:ascii="Arial" w:hAnsi="Arial" w:cs="Arial"/>
          <w:color w:val="000000"/>
          <w:lang w:val="ar-AE" w:bidi="ar-AE"/>
          <w:rtl w:val="1"/>
        </w:rPr>
        <w:t xml:space="preserve">التطبيق حاسوبي على منظومة كهرباء اختبارية منشورة هي </w:t>
      </w:r>
      <w:r>
        <w:rPr>
          <w:rFonts w:ascii="Calibri" w:hAnsi="Calibri" w:cs="Calibri"/>
          <w:color w:val="000000"/>
          <w:lang w:val="en-US" w:bidi="ar-AE"/>
          <w:rtl w:val="0"/>
        </w:rPr>
        <w:t>⁦RTS-GMLC [6]⁩</w:t>
      </w:r>
      <w:r>
        <w:rPr>
          <w:rFonts w:ascii="Arial" w:hAnsi="Arial" w:cs="Arial"/>
          <w:color w:val="000000"/>
          <w:lang w:val="ar-AE" w:bidi="ar-AE"/>
          <w:rtl w:val="1"/>
        </w:rPr>
        <w:t xml:space="preserve">، وتحديدًا المنطقة الأولى المعزولة: </w:t>
      </w:r>
      <w:r>
        <w:rPr>
          <w:rFonts w:ascii="Calibri" w:hAnsi="Calibri" w:cs="Calibri"/>
          <w:color w:val="000000"/>
          <w:lang w:val="en-US" w:bidi="ar-AE"/>
          <w:rtl w:val="0"/>
        </w:rPr>
        <w:t>⁦24⁩</w:t>
      </w:r>
      <w:r>
        <w:rPr>
          <w:rFonts w:ascii="Arial" w:hAnsi="Arial" w:cs="Arial"/>
          <w:color w:val="000000"/>
          <w:lang w:val="ar-AE" w:bidi="ar-AE"/>
          <w:rtl w:val="1"/>
        </w:rPr>
        <w:t xml:space="preserve"> عقدة و</w:t>
      </w:r>
      <w:r>
        <w:rPr>
          <w:rFonts w:ascii="Calibri" w:hAnsi="Calibri" w:cs="Calibri"/>
          <w:color w:val="000000"/>
          <w:lang w:val="en-US" w:bidi="ar-AE"/>
          <w:rtl w:val="0"/>
        </w:rPr>
        <w:t>⁦38⁩</w:t>
      </w:r>
      <w:r>
        <w:rPr>
          <w:rFonts w:ascii="Arial" w:hAnsi="Arial" w:cs="Arial"/>
          <w:color w:val="000000"/>
          <w:lang w:val="ar-AE" w:bidi="ar-AE"/>
          <w:rtl w:val="1"/>
        </w:rPr>
        <w:t xml:space="preserve"> خطًا داخليًا و</w:t>
      </w:r>
      <w:r>
        <w:rPr>
          <w:rFonts w:ascii="Calibri" w:hAnsi="Calibri" w:cs="Calibri"/>
          <w:color w:val="000000"/>
          <w:lang w:val="en-US" w:bidi="ar-AE"/>
          <w:rtl w:val="0"/>
        </w:rPr>
        <w:t>⁦41⁩</w:t>
      </w:r>
      <w:r>
        <w:rPr>
          <w:rFonts w:ascii="Arial" w:hAnsi="Arial" w:cs="Arial"/>
          <w:color w:val="000000"/>
          <w:lang w:val="ar-AE" w:bidi="ar-AE"/>
          <w:rtl w:val="1"/>
        </w:rPr>
        <w:t xml:space="preserve"> مولدًا، منها </w:t>
      </w:r>
      <w:r>
        <w:rPr>
          <w:rFonts w:ascii="Calibri" w:hAnsi="Calibri" w:cs="Calibri"/>
          <w:color w:val="000000"/>
          <w:lang w:val="en-US" w:bidi="ar-AE"/>
          <w:rtl w:val="0"/>
        </w:rPr>
        <w:t>⁦24⁩</w:t>
      </w:r>
      <w:r>
        <w:rPr>
          <w:rFonts w:ascii="Arial" w:hAnsi="Arial" w:cs="Arial"/>
          <w:color w:val="000000"/>
          <w:lang w:val="ar-AE" w:bidi="ar-AE"/>
          <w:rtl w:val="1"/>
        </w:rPr>
        <w:t xml:space="preserve"> وحدة حرارية، لمدة </w:t>
      </w:r>
      <w:r>
        <w:rPr>
          <w:rFonts w:ascii="Calibri" w:hAnsi="Calibri" w:cs="Calibri"/>
          <w:color w:val="000000"/>
          <w:lang w:val="en-US" w:bidi="ar-AE"/>
          <w:rtl w:val="0"/>
        </w:rPr>
        <w:t>⁦168⁩</w:t>
      </w:r>
      <w:r>
        <w:rPr>
          <w:rFonts w:ascii="Arial" w:hAnsi="Arial" w:cs="Arial"/>
          <w:color w:val="000000"/>
          <w:lang w:val="ar-AE" w:bidi="ar-AE"/>
          <w:rtl w:val="1"/>
        </w:rPr>
        <w:t xml:space="preserve"> ساعة. لم نغيّر تشغيل محطة حقيقية، ولم ننفّذ تجربة ميدانية. حسابات الشبكة خطية، ولا تمثل تحليل تدفق قدرة متناوب كاملًا.</w:t>
      </w:r>
    </w:p>
    <w:p>
      <w:pPr>
        <w:pStyle w:val="Heading1"/>
        <w:jc w:val="start"/>
        <w:bidi w:val="1"/>
      </w:pPr>
      <w:r>
        <w:rPr>
          <w:rFonts w:ascii="Arial" w:hAnsi="Arial" w:cs="Arial"/>
          <w:color w:val="000000"/>
          <w:lang w:val="ar-AE" w:bidi="ar-AE"/>
          <w:rtl w:val="1"/>
        </w:rPr>
        <w:t>ما الذي أُنجز فعلًا؟</w:t>
      </w:r>
    </w:p>
    <w:p>
      <w:pPr>
        <w:jc w:val="start"/>
        <w:bidi w:val="1"/>
      </w:pPr>
      <w:r>
        <w:rPr>
          <w:rFonts w:ascii="Arial" w:hAnsi="Arial" w:cs="Arial"/>
          <w:color w:val="000000"/>
          <w:lang w:val="ar-AE" w:bidi="ar-AE"/>
          <w:rtl w:val="1"/>
        </w:rPr>
        <w:t xml:space="preserve">في أسبوع يناير الأول، حُدد سقف قدره </w:t>
      </w:r>
      <w:r>
        <w:rPr>
          <w:rFonts w:ascii="Calibri" w:hAnsi="Calibri" w:cs="Calibri"/>
          <w:color w:val="000000"/>
          <w:lang w:val="en-US" w:bidi="ar-AE"/>
          <w:rtl w:val="0"/>
        </w:rPr>
        <w:t>⁦23195⁩</w:t>
      </w:r>
      <w:r>
        <w:rPr>
          <w:rFonts w:ascii="Arial" w:hAnsi="Arial" w:cs="Arial"/>
          <w:color w:val="000000"/>
          <w:lang w:val="ar-AE" w:bidi="ar-AE"/>
          <w:rtl w:val="1"/>
        </w:rPr>
        <w:t xml:space="preserve"> ميغاواط ساعة للكهرباء المنتجة من الفحم والنفط والغاز. الجدول الأصلي صالح تحت هذا السقف. أُنشئت حالتان تعيدان ترتيب </w:t>
      </w:r>
      <w:r>
        <w:rPr>
          <w:rFonts w:ascii="Calibri" w:hAnsi="Calibri" w:cs="Calibri"/>
          <w:color w:val="000000"/>
          <w:lang w:val="en-US" w:bidi="ar-AE"/>
          <w:rtl w:val="0"/>
        </w:rPr>
        <w:t>⁦72⁩</w:t>
      </w:r>
      <w:r>
        <w:rPr>
          <w:rFonts w:ascii="Arial" w:hAnsi="Arial" w:cs="Arial"/>
          <w:color w:val="000000"/>
          <w:lang w:val="ar-AE" w:bidi="ar-AE"/>
          <w:rtl w:val="1"/>
        </w:rPr>
        <w:t xml:space="preserve"> ساعة داخل الأسبوع مع تثبيت أول وآخر </w:t>
      </w:r>
      <w:r>
        <w:rPr>
          <w:rFonts w:ascii="Calibri" w:hAnsi="Calibri" w:cs="Calibri"/>
          <w:color w:val="000000"/>
          <w:lang w:val="en-US" w:bidi="ar-AE"/>
          <w:rtl w:val="0"/>
        </w:rPr>
        <w:t>⁦48⁩</w:t>
      </w:r>
      <w:r>
        <w:rPr>
          <w:rFonts w:ascii="Arial" w:hAnsi="Arial" w:cs="Arial"/>
          <w:color w:val="000000"/>
          <w:lang w:val="ar-AE" w:bidi="ar-AE"/>
          <w:rtl w:val="1"/>
        </w:rPr>
        <w:t xml:space="preserve"> ساعة. ثم أُنشئت حالتان إضافيتان تحافظان أيضًا على ساعة اليوم لكل حزمة مدخلات. اجتازت الحالات الأربع فحص عدم الإمكان بشهادات دقيقة، مع ضوابط إيجابية بقي التشغيل فيها ممكنًا. الجدول </w:t>
      </w:r>
      <w:r>
        <w:rPr>
          <w:rFonts w:ascii="Calibri" w:hAnsi="Calibri" w:cs="Calibri"/>
          <w:color w:val="000000"/>
          <w:lang w:val="en-US" w:bidi="ar-AE"/>
          <w:rtl w:val="0"/>
        </w:rPr>
        <w:t>⁦1⁩</w:t>
      </w:r>
      <w:r>
        <w:rPr>
          <w:rFonts w:ascii="Arial" w:hAnsi="Arial" w:cs="Arial"/>
          <w:color w:val="000000"/>
          <w:lang w:val="ar-AE" w:bidi="ar-AE"/>
          <w:rtl w:val="1"/>
        </w:rPr>
        <w:t xml:space="preserve"> يفصل الحالات العادية عن هذه الضوابط.</w:t>
      </w:r>
    </w:p>
    <w:p>
      <w:pPr>
        <w:pStyle w:val="Caption"/>
        <w:jc w:val="start"/>
        <w:keepNext/>
        <w:bidi w:val="1"/>
      </w:pPr>
      <w:r>
        <w:rPr>
          <w:rFonts w:ascii="Arial" w:hAnsi="Arial" w:cs="Arial"/>
          <w:color w:val="000000"/>
          <w:sz w:val="21"/>
          <w:lang w:val="ar-AE" w:bidi="ar-AE"/>
          <w:rtl w:val="1"/>
          <w:szCs w:val="21"/>
        </w:rPr>
        <w:t xml:space="preserve">الجدول </w:t>
      </w:r>
      <w:r>
        <w:rPr>
          <w:rFonts w:ascii="Calibri" w:hAnsi="Calibri" w:cs="Calibri"/>
          <w:color w:val="000000"/>
          <w:sz w:val="21"/>
          <w:lang w:val="en-US" w:bidi="ar-AE"/>
          <w:rtl w:val="0"/>
        </w:rPr>
        <w:t>⁦1⁩</w:t>
      </w:r>
      <w:r>
        <w:rPr>
          <w:rFonts w:ascii="Arial" w:hAnsi="Arial" w:cs="Arial"/>
          <w:color w:val="000000"/>
          <w:sz w:val="21"/>
          <w:lang w:val="ar-AE" w:bidi="ar-AE"/>
          <w:rtl w:val="1"/>
          <w:szCs w:val="21"/>
        </w:rPr>
        <w:t>: نتائج الحالات العادية المكتملة في هذه المسودة</w:t>
      </w:r>
    </w:p>
    <w:tbl>
      <w:tblPr>
        <w:tblW w:type="auto" w:w="0"/>
        <w:jc w:val="center"/>
        <w:tblLayout w:type="fixed"/>
        <w:tblLook w:firstColumn="1" w:firstRow="1" w:lastColumn="0" w:lastRow="0" w:noHBand="0" w:noVBand="1" w:val="04A0"/>
        <w:bidiVisual/>
        <w:tblBorders>
          <w:top w:val="single" w:sz="4" w:color="C4C4C4"/>
          <w:left w:val="single" w:sz="4" w:color="C4C4C4"/>
          <w:bottom w:val="single" w:sz="4" w:color="C4C4C4"/>
          <w:right w:val="single" w:sz="4" w:color="C4C4C4"/>
          <w:insideH w:val="single" w:sz="4" w:color="C4C4C4"/>
          <w:insideV w:val="single" w:sz="4" w:color="C4C4C4"/>
        </w:tblBorders>
      </w:tblPr>
      <w:tblGrid>
        <w:gridCol w:w="4464"/>
        <w:gridCol w:w="1008"/>
        <w:gridCol w:w="1224"/>
        <w:gridCol w:w="1224"/>
        <w:gridCol w:w="1440"/>
      </w:tblGrid>
      <w:tr>
        <w:trPr>
          <w:cantSplit/>
          <w:tblHeader/>
        </w:trPr>
        <w:tc>
          <w:tcPr>
            <w:tcW w:type="dxa" w:w="4464"/>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المقارنة</w:t>
            </w:r>
          </w:p>
        </w:tc>
        <w:tc>
          <w:tcPr>
            <w:tcW w:type="dxa" w:w="1008"/>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الحالات</w:t>
            </w:r>
          </w:p>
        </w:tc>
        <w:tc>
          <w:tcPr>
            <w:tcW w:type="dxa" w:w="1224"/>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ممكنة</w:t>
            </w:r>
          </w:p>
        </w:tc>
        <w:tc>
          <w:tcPr>
            <w:tcW w:type="dxa" w:w="1224"/>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مستحيلة</w:t>
            </w:r>
          </w:p>
        </w:tc>
        <w:tc>
          <w:tcPr>
            <w:tcW w:type="dxa" w:w="1440"/>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غير محسومة</w:t>
            </w:r>
          </w:p>
        </w:tc>
      </w:tr>
      <w:tr>
        <w:trPr>
          <w:cantSplit/>
        </w:trPr>
        <w:tc>
          <w:tcPr>
            <w:tcW w:type="dxa" w:w="4464"/>
            <w:vAlign w:val="center"/>
          </w:tcPr>
          <w:p>
            <w:pPr>
              <w:keepNext/>
              <w:spacing w:after="80" w:before="80" w:line="252" w:lineRule="auto"/>
              <w:jc w:val="start"/>
              <w:bidi w:val="1"/>
            </w:pPr>
            <w:r>
              <w:rPr>
                <w:rFonts w:ascii="Arial" w:hAnsi="Arial" w:cs="Arial"/>
                <w:color w:val="000000"/>
                <w:sz w:val="20"/>
                <w:lang w:val="ar-AE" w:bidi="ar-AE"/>
                <w:rtl w:val="1"/>
                <w:szCs w:val="20"/>
              </w:rPr>
              <w:t>يناير: إعادة ترتيب الساعات</w:t>
            </w:r>
          </w:p>
        </w:tc>
        <w:tc>
          <w:tcPr>
            <w:tcW w:type="dxa" w:w="1008"/>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440"/>
            <w:vAlign w:val="center"/>
          </w:tcPr>
          <w:p>
            <w:pPr>
              <w:keepNext/>
              <w:spacing w:after="80" w:before="80" w:line="252" w:lineRule="auto"/>
              <w:jc w:val="center"/>
              <w:bidi w:val="0"/>
            </w:pPr>
            <w:r>
              <w:rPr>
                <w:rFonts w:ascii="Calibri" w:hAnsi="Calibri" w:cs="Calibri"/>
                <w:color w:val="000000"/>
                <w:sz w:val="20"/>
                <w:lang w:val="en-US" w:bidi="ar-AE"/>
                <w:rtl w:val="0"/>
              </w:rPr>
              <w:t>0</w:t>
            </w:r>
          </w:p>
        </w:tc>
      </w:tr>
      <w:tr>
        <w:trPr>
          <w:cantSplit/>
        </w:trPr>
        <w:tc>
          <w:tcPr>
            <w:tcW w:type="dxa" w:w="4464"/>
            <w:vAlign w:val="center"/>
          </w:tcPr>
          <w:p>
            <w:pPr>
              <w:keepNext/>
              <w:spacing w:after="80" w:before="80" w:line="252" w:lineRule="auto"/>
              <w:jc w:val="start"/>
              <w:bidi w:val="1"/>
            </w:pPr>
            <w:r>
              <w:rPr>
                <w:rFonts w:ascii="Arial" w:hAnsi="Arial" w:cs="Arial"/>
                <w:color w:val="000000"/>
                <w:sz w:val="20"/>
                <w:lang w:val="ar-AE" w:bidi="ar-AE"/>
                <w:rtl w:val="1"/>
                <w:szCs w:val="20"/>
              </w:rPr>
              <w:t>يناير: تثبيت ساعة اليوم</w:t>
            </w:r>
          </w:p>
        </w:tc>
        <w:tc>
          <w:tcPr>
            <w:tcW w:type="dxa" w:w="1008"/>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440"/>
            <w:vAlign w:val="center"/>
          </w:tcPr>
          <w:p>
            <w:pPr>
              <w:keepNext/>
              <w:spacing w:after="80" w:before="80" w:line="252" w:lineRule="auto"/>
              <w:jc w:val="center"/>
              <w:bidi w:val="0"/>
            </w:pPr>
            <w:r>
              <w:rPr>
                <w:rFonts w:ascii="Calibri" w:hAnsi="Calibri" w:cs="Calibri"/>
                <w:color w:val="000000"/>
                <w:sz w:val="20"/>
                <w:lang w:val="en-US" w:bidi="ar-AE"/>
                <w:rtl w:val="0"/>
              </w:rPr>
              <w:t>0</w:t>
            </w:r>
          </w:p>
        </w:tc>
      </w:tr>
      <w:tr>
        <w:trPr>
          <w:cantSplit/>
        </w:trPr>
        <w:tc>
          <w:tcPr>
            <w:tcW w:type="dxa" w:w="4464"/>
            <w:vAlign w:val="center"/>
          </w:tcPr>
          <w:p>
            <w:pPr>
              <w:keepNext/>
              <w:spacing w:after="80" w:before="80" w:line="252" w:lineRule="auto"/>
              <w:jc w:val="start"/>
              <w:bidi w:val="1"/>
            </w:pPr>
            <w:r>
              <w:rPr>
                <w:rFonts w:ascii="Arial" w:hAnsi="Arial" w:cs="Arial"/>
                <w:color w:val="000000"/>
                <w:sz w:val="20"/>
                <w:lang w:val="ar-AE" w:bidi="ar-AE"/>
                <w:rtl w:val="1"/>
                <w:szCs w:val="20"/>
              </w:rPr>
              <w:t>يناير: تبديل الأيام الكاملة</w:t>
            </w:r>
          </w:p>
        </w:tc>
        <w:tc>
          <w:tcPr>
            <w:tcW w:type="dxa" w:w="1008"/>
            <w:vAlign w:val="center"/>
          </w:tcPr>
          <w:p>
            <w:pPr>
              <w:keepNext/>
              <w:spacing w:after="80" w:before="80" w:line="252" w:lineRule="auto"/>
              <w:jc w:val="center"/>
              <w:bidi w:val="0"/>
            </w:pPr>
            <w:r>
              <w:rPr>
                <w:rFonts w:ascii="Calibri" w:hAnsi="Calibri" w:cs="Calibri"/>
                <w:color w:val="000000"/>
                <w:sz w:val="20"/>
                <w:lang w:val="en-US" w:bidi="ar-AE"/>
                <w:rtl w:val="0"/>
              </w:rPr>
              <w:t>5</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1</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440"/>
            <w:vAlign w:val="center"/>
          </w:tcPr>
          <w:p>
            <w:pPr>
              <w:keepNext/>
              <w:spacing w:after="80" w:before="80" w:line="252" w:lineRule="auto"/>
              <w:jc w:val="center"/>
              <w:bidi w:val="0"/>
            </w:pPr>
            <w:r>
              <w:rPr>
                <w:rFonts w:ascii="Calibri" w:hAnsi="Calibri" w:cs="Calibri"/>
                <w:color w:val="000000"/>
                <w:sz w:val="20"/>
                <w:lang w:val="en-US" w:bidi="ar-AE"/>
                <w:rtl w:val="0"/>
              </w:rPr>
              <w:t>4</w:t>
            </w:r>
          </w:p>
        </w:tc>
      </w:tr>
      <w:tr>
        <w:trPr>
          <w:cantSplit/>
        </w:trPr>
        <w:tc>
          <w:tcPr>
            <w:tcW w:type="dxa" w:w="4464"/>
            <w:vAlign w:val="center"/>
          </w:tcPr>
          <w:p>
            <w:pPr>
              <w:keepNext/>
              <w:spacing w:after="80" w:before="80" w:line="252" w:lineRule="auto"/>
              <w:jc w:val="start"/>
              <w:bidi w:val="1"/>
            </w:pPr>
            <w:r>
              <w:rPr>
                <w:rFonts w:ascii="Arial" w:hAnsi="Arial" w:cs="Arial"/>
                <w:color w:val="000000"/>
                <w:sz w:val="20"/>
                <w:lang w:val="ar-AE" w:bidi="ar-AE"/>
                <w:rtl w:val="1"/>
                <w:szCs w:val="20"/>
              </w:rPr>
              <w:t>استكمال أبريل وأكتوبر</w:t>
            </w:r>
          </w:p>
        </w:tc>
        <w:tc>
          <w:tcPr>
            <w:tcW w:type="dxa" w:w="1008"/>
            <w:vAlign w:val="center"/>
          </w:tcPr>
          <w:p>
            <w:pPr>
              <w:keepNext/>
              <w:spacing w:after="80" w:before="80" w:line="252" w:lineRule="auto"/>
              <w:jc w:val="center"/>
              <w:bidi w:val="0"/>
            </w:pPr>
            <w:r>
              <w:rPr>
                <w:rFonts w:ascii="Calibri" w:hAnsi="Calibri" w:cs="Calibri"/>
                <w:color w:val="000000"/>
                <w:sz w:val="20"/>
                <w:lang w:val="en-US" w:bidi="ar-AE"/>
                <w:rtl w:val="0"/>
              </w:rPr>
              <w:t>4</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440"/>
            <w:vAlign w:val="center"/>
          </w:tcPr>
          <w:p>
            <w:pPr>
              <w:keepNext/>
              <w:spacing w:after="80" w:before="80" w:line="252" w:lineRule="auto"/>
              <w:jc w:val="center"/>
              <w:bidi w:val="0"/>
            </w:pPr>
            <w:r>
              <w:rPr>
                <w:rFonts w:ascii="Calibri" w:hAnsi="Calibri" w:cs="Calibri"/>
                <w:color w:val="000000"/>
                <w:sz w:val="20"/>
                <w:lang w:val="en-US" w:bidi="ar-AE"/>
                <w:rtl w:val="0"/>
              </w:rPr>
              <w:t>4</w:t>
            </w:r>
          </w:p>
        </w:tc>
      </w:tr>
      <w:tr>
        <w:trPr>
          <w:cantSplit/>
        </w:trPr>
        <w:tc>
          <w:tcPr>
            <w:tcW w:type="dxa" w:w="4464"/>
            <w:vAlign w:val="center"/>
          </w:tcPr>
          <w:p>
            <w:pPr>
              <w:keepNext/>
              <w:spacing w:after="80" w:before="80" w:line="252" w:lineRule="auto"/>
              <w:jc w:val="start"/>
              <w:bidi w:val="1"/>
            </w:pPr>
            <w:r>
              <w:rPr>
                <w:rFonts w:ascii="Arial" w:hAnsi="Arial" w:cs="Arial"/>
                <w:color w:val="000000"/>
                <w:sz w:val="20"/>
                <w:lang w:val="ar-AE" w:bidi="ar-AE"/>
                <w:rtl w:val="1"/>
                <w:szCs w:val="20"/>
              </w:rPr>
              <w:t xml:space="preserve">يناير </w:t>
            </w:r>
            <w:r>
              <w:rPr>
                <w:rFonts w:ascii="Calibri" w:hAnsi="Calibri" w:cs="Calibri"/>
                <w:color w:val="000000"/>
                <w:sz w:val="20"/>
                <w:lang w:val="en-US" w:bidi="ar-AE"/>
                <w:rtl w:val="0"/>
              </w:rPr>
              <w:t>⁦8–14⁩</w:t>
            </w:r>
            <w:r>
              <w:rPr>
                <w:rFonts w:ascii="Arial" w:hAnsi="Arial" w:cs="Arial"/>
                <w:color w:val="000000"/>
                <w:sz w:val="20"/>
                <w:lang w:val="ar-AE" w:bidi="ar-AE"/>
                <w:rtl w:val="1"/>
                <w:szCs w:val="20"/>
              </w:rPr>
              <w:t>: تثبيت ساعة اليوم</w:t>
            </w:r>
          </w:p>
        </w:tc>
        <w:tc>
          <w:tcPr>
            <w:tcW w:type="dxa" w:w="1008"/>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0</w:t>
            </w:r>
          </w:p>
        </w:tc>
        <w:tc>
          <w:tcPr>
            <w:tcW w:type="dxa" w:w="1224"/>
            <w:vAlign w:val="center"/>
          </w:tcPr>
          <w:p>
            <w:pPr>
              <w:keepNext/>
              <w:spacing w:after="80" w:before="80" w:line="252" w:lineRule="auto"/>
              <w:jc w:val="center"/>
              <w:bidi w:val="0"/>
            </w:pPr>
            <w:r>
              <w:rPr>
                <w:rFonts w:ascii="Calibri" w:hAnsi="Calibri" w:cs="Calibri"/>
                <w:color w:val="000000"/>
                <w:sz w:val="20"/>
                <w:lang w:val="en-US" w:bidi="ar-AE"/>
                <w:rtl w:val="0"/>
              </w:rPr>
              <w:t>1</w:t>
            </w:r>
          </w:p>
        </w:tc>
        <w:tc>
          <w:tcPr>
            <w:tcW w:type="dxa" w:w="1440"/>
            <w:vAlign w:val="center"/>
          </w:tcPr>
          <w:p>
            <w:pPr>
              <w:keepNext/>
              <w:spacing w:after="80" w:before="80" w:line="252" w:lineRule="auto"/>
              <w:jc w:val="center"/>
              <w:bidi w:val="0"/>
            </w:pPr>
            <w:r>
              <w:rPr>
                <w:rFonts w:ascii="Calibri" w:hAnsi="Calibri" w:cs="Calibri"/>
                <w:color w:val="000000"/>
                <w:sz w:val="20"/>
                <w:lang w:val="en-US" w:bidi="ar-AE"/>
                <w:rtl w:val="0"/>
              </w:rPr>
              <w:t>1</w:t>
            </w:r>
          </w:p>
        </w:tc>
      </w:tr>
      <w:tr>
        <w:trPr>
          <w:cantSplit/>
        </w:trPr>
        <w:tc>
          <w:tcPr>
            <w:tcW w:type="dxa" w:w="4464"/>
            <w:vAlign w:val="center"/>
          </w:tcPr>
          <w:p>
            <w:pPr>
              <w:keepNext w:val="0"/>
              <w:spacing w:after="80" w:before="80" w:line="252" w:lineRule="auto"/>
              <w:jc w:val="start"/>
              <w:bidi w:val="1"/>
            </w:pPr>
            <w:r>
              <w:rPr>
                <w:rFonts w:ascii="Arial" w:hAnsi="Arial" w:cs="Arial"/>
                <w:color w:val="000000"/>
                <w:sz w:val="20"/>
                <w:lang w:val="ar-AE" w:bidi="ar-AE"/>
                <w:rtl w:val="1"/>
                <w:szCs w:val="20"/>
              </w:rPr>
              <w:t xml:space="preserve">يناير </w:t>
            </w:r>
            <w:r>
              <w:rPr>
                <w:rFonts w:ascii="Calibri" w:hAnsi="Calibri" w:cs="Calibri"/>
                <w:color w:val="000000"/>
                <w:sz w:val="20"/>
                <w:lang w:val="en-US" w:bidi="ar-AE"/>
                <w:rtl w:val="0"/>
              </w:rPr>
              <w:t>⁦15–21⁩</w:t>
            </w:r>
            <w:r>
              <w:rPr>
                <w:rFonts w:ascii="Arial" w:hAnsi="Arial" w:cs="Arial"/>
                <w:color w:val="000000"/>
                <w:sz w:val="20"/>
                <w:lang w:val="ar-AE" w:bidi="ar-AE"/>
                <w:rtl w:val="1"/>
                <w:szCs w:val="20"/>
              </w:rPr>
              <w:t>: تثبيت ساعة اليوم</w:t>
            </w:r>
          </w:p>
        </w:tc>
        <w:tc>
          <w:tcPr>
            <w:tcW w:type="dxa" w:w="1008"/>
            <w:vAlign w:val="center"/>
          </w:tcPr>
          <w:p>
            <w:pPr>
              <w:keepNext w:val="0"/>
              <w:spacing w:after="80" w:before="80" w:line="252" w:lineRule="auto"/>
              <w:jc w:val="center"/>
              <w:bidi w:val="0"/>
            </w:pPr>
            <w:r>
              <w:rPr>
                <w:rFonts w:ascii="Calibri" w:hAnsi="Calibri" w:cs="Calibri"/>
                <w:color w:val="000000"/>
                <w:sz w:val="20"/>
                <w:lang w:val="en-US" w:bidi="ar-AE"/>
                <w:rtl w:val="0"/>
              </w:rPr>
              <w:t>2</w:t>
            </w:r>
          </w:p>
        </w:tc>
        <w:tc>
          <w:tcPr>
            <w:tcW w:type="dxa" w:w="1224"/>
            <w:vAlign w:val="center"/>
          </w:tcPr>
          <w:p>
            <w:pPr>
              <w:keepNext w:val="0"/>
              <w:spacing w:after="80" w:before="80" w:line="252" w:lineRule="auto"/>
              <w:jc w:val="center"/>
              <w:bidi w:val="0"/>
            </w:pPr>
            <w:r>
              <w:rPr>
                <w:rFonts w:ascii="Calibri" w:hAnsi="Calibri" w:cs="Calibri"/>
                <w:color w:val="000000"/>
                <w:sz w:val="20"/>
                <w:lang w:val="en-US" w:bidi="ar-AE"/>
                <w:rtl w:val="0"/>
              </w:rPr>
              <w:t>0</w:t>
            </w:r>
          </w:p>
        </w:tc>
        <w:tc>
          <w:tcPr>
            <w:tcW w:type="dxa" w:w="1224"/>
            <w:vAlign w:val="center"/>
          </w:tcPr>
          <w:p>
            <w:pPr>
              <w:keepNext w:val="0"/>
              <w:spacing w:after="80" w:before="80" w:line="252" w:lineRule="auto"/>
              <w:jc w:val="center"/>
              <w:bidi w:val="0"/>
            </w:pPr>
            <w:r>
              <w:rPr>
                <w:rFonts w:ascii="Calibri" w:hAnsi="Calibri" w:cs="Calibri"/>
                <w:color w:val="000000"/>
                <w:sz w:val="20"/>
                <w:lang w:val="en-US" w:bidi="ar-AE"/>
                <w:rtl w:val="0"/>
              </w:rPr>
              <w:t>2</w:t>
            </w:r>
          </w:p>
        </w:tc>
        <w:tc>
          <w:tcPr>
            <w:tcW w:type="dxa" w:w="1440"/>
            <w:vAlign w:val="center"/>
          </w:tcPr>
          <w:p>
            <w:pPr>
              <w:keepNext w:val="0"/>
              <w:spacing w:after="80" w:before="80" w:line="252" w:lineRule="auto"/>
              <w:jc w:val="center"/>
              <w:bidi w:val="0"/>
            </w:pPr>
            <w:r>
              <w:rPr>
                <w:rFonts w:ascii="Calibri" w:hAnsi="Calibri" w:cs="Calibri"/>
                <w:color w:val="000000"/>
                <w:sz w:val="20"/>
                <w:lang w:val="en-US" w:bidi="ar-AE"/>
                <w:rtl w:val="0"/>
              </w:rPr>
              <w:t>0</w:t>
            </w:r>
          </w:p>
        </w:tc>
      </w:tr>
    </w:tbl>
    <w:p>
      <w:pPr>
        <w:jc w:val="start"/>
        <w:bidi w:val="1"/>
      </w:pPr>
      <w:r>
        <w:rPr>
          <w:rFonts w:ascii="Arial" w:hAnsi="Arial" w:cs="Arial"/>
          <w:color w:val="000000"/>
          <w:lang w:val="ar-AE" w:bidi="ar-AE"/>
          <w:rtl w:val="1"/>
        </w:rPr>
        <w:t>تعني «ممكنة» وجود جدول ثنائي اجتاز الفحص الدقيق، وتعني «مستحيلة» وجود شهادة دقيقة تمنع الحل حتى في الاسترخاء المستمر. وتعني «غير محسومة» أن الوقت المخصص انتهى من دون شهادة أو جدول ثنائي مقبول. لا يجوز تحويل انتهاء وقت الحل إلى إثبات استحالة. تعود الحالات الأربع السلبية الأولى إلى أسبوع واحد؛ لذا ليست أربع عمليات تكرار مستقلة.</w:t>
      </w:r>
    </w:p>
    <w:p>
      <w:pPr>
        <w:jc w:val="start"/>
        <w:bidi w:val="1"/>
      </w:pPr>
      <w:r>
        <w:rPr>
          <w:rFonts w:ascii="Arial" w:hAnsi="Arial" w:cs="Arial"/>
          <w:color w:val="000000"/>
          <w:lang w:val="ar-AE" w:bidi="ar-AE"/>
          <w:rtl w:val="1"/>
        </w:rPr>
        <w:t xml:space="preserve">ثم نُقلت المقارنة إلى أسبوعي </w:t>
      </w:r>
      <w:r>
        <w:rPr>
          <w:rFonts w:ascii="Calibri" w:hAnsi="Calibri" w:cs="Calibri"/>
          <w:color w:val="000000"/>
          <w:lang w:val="en-US" w:bidi="ar-AE"/>
          <w:rtl w:val="0"/>
        </w:rPr>
        <w:t>⁦8–14⁩</w:t>
      </w:r>
      <w:r>
        <w:rPr>
          <w:rFonts w:ascii="Arial" w:hAnsi="Arial" w:cs="Arial"/>
          <w:color w:val="000000"/>
          <w:lang w:val="ar-AE" w:bidi="ar-AE"/>
          <w:rtl w:val="1"/>
        </w:rPr>
        <w:t xml:space="preserve"> و</w:t>
      </w:r>
      <w:r>
        <w:rPr>
          <w:rFonts w:ascii="Calibri" w:hAnsi="Calibri" w:cs="Calibri"/>
          <w:color w:val="000000"/>
          <w:lang w:val="en-US" w:bidi="ar-AE"/>
          <w:rtl w:val="0"/>
        </w:rPr>
        <w:t>⁦15–21⁩</w:t>
      </w:r>
      <w:r>
        <w:rPr>
          <w:rFonts w:ascii="Arial" w:hAnsi="Arial" w:cs="Arial"/>
          <w:color w:val="000000"/>
          <w:lang w:val="ar-AE" w:bidi="ar-AE"/>
          <w:rtl w:val="1"/>
        </w:rPr>
        <w:t xml:space="preserve"> يناير، اللذين لم يُستخدما في نتائج الأسبوع الأول. ثبتت الاستحالة في ثلاث من أربع حالات جديدة، وبقيت الرابعة غير محسومة. لكل أسبوع جدول أصلي صالح وضابط إيجابي مفحوصان، وسقف محدد من المرجع نفسه: </w:t>
      </w:r>
      <w:r>
        <w:rPr>
          <w:rFonts w:ascii="Calibri" w:hAnsi="Calibri" w:cs="Calibri"/>
          <w:color w:val="000000"/>
          <w:lang w:val="en-US" w:bidi="ar-AE"/>
          <w:rtl w:val="0"/>
        </w:rPr>
        <w:t>⁦26532⁩</w:t>
      </w:r>
      <w:r>
        <w:rPr>
          <w:rFonts w:ascii="Arial" w:hAnsi="Arial" w:cs="Arial"/>
          <w:color w:val="000000"/>
          <w:lang w:val="ar-AE" w:bidi="ar-AE"/>
          <w:rtl w:val="1"/>
        </w:rPr>
        <w:t xml:space="preserve"> و</w:t>
      </w:r>
      <w:r>
        <w:rPr>
          <w:rFonts w:ascii="Calibri" w:hAnsi="Calibri" w:cs="Calibri"/>
          <w:color w:val="000000"/>
          <w:lang w:val="en-US" w:bidi="ar-AE"/>
          <w:rtl w:val="0"/>
        </w:rPr>
        <w:t>⁦48319⁩</w:t>
      </w:r>
      <w:r>
        <w:rPr>
          <w:rFonts w:ascii="Arial" w:hAnsi="Arial" w:cs="Arial"/>
          <w:color w:val="000000"/>
          <w:lang w:val="ar-AE" w:bidi="ar-AE"/>
          <w:rtl w:val="1"/>
        </w:rPr>
        <w:t xml:space="preserve"> ميغاواط ساعة. هكذا أصبح لدينا خمس حالات سلبية مؤكدة من ست حالات تثبت ساعة اليوم عبر ثلاثة أسابيع منفصلة. هذه إعادة اختبار على أسابيع جديدة من الشبكة نفسها وفي الشهر نفسه؛ ليست تجربة على شبكة مستقلة أو تقديرًا إحصائيًا لنسبة النجاح.</w:t>
      </w:r>
    </w:p>
    <w:p>
      <w:pPr>
        <w:jc w:val="start"/>
        <w:bidi w:val="1"/>
      </w:pPr>
      <w:r>
        <w:rPr>
          <w:rFonts w:ascii="Arial" w:hAnsi="Arial" w:cs="Arial"/>
          <w:color w:val="000000"/>
          <w:lang w:val="ar-AE" w:bidi="ar-AE"/>
          <w:rtl w:val="1"/>
        </w:rPr>
        <w:t xml:space="preserve">وللحالات الأربع في أسبوع يناير الأول، أُزيل السقف وحُسبت حدود مؤكدة للطاقة الأحفورية المثلى في كل ترتيب. النتائج في الجدول </w:t>
      </w:r>
      <w:r>
        <w:rPr>
          <w:rFonts w:ascii="Calibri" w:hAnsi="Calibri" w:cs="Calibri"/>
          <w:color w:val="000000"/>
          <w:lang w:val="en-US" w:bidi="ar-AE"/>
          <w:rtl w:val="0"/>
        </w:rPr>
        <w:t>⁦2⁩</w:t>
      </w:r>
      <w:r>
        <w:rPr>
          <w:rFonts w:ascii="Arial" w:hAnsi="Arial" w:cs="Arial"/>
          <w:color w:val="000000"/>
          <w:lang w:val="ar-AE" w:bidi="ar-AE"/>
          <w:rtl w:val="1"/>
        </w:rPr>
        <w:t xml:space="preserve"> تخص الفرق بين الحلين الأمثلين. أول سطرين يخصان التبديل غير المقيد بساعة اليوم، وآخر سطرين يخصان تثبيت ساعة اليوم. الحدود عريضة لأن الحل الأمثل نفسه لم يُحسم، لكن طرفها الأدنى موجب في الحالات الأربع.</w:t>
      </w:r>
    </w:p>
    <w:p>
      <w:pPr>
        <w:pStyle w:val="Caption"/>
        <w:jc w:val="start"/>
        <w:keepNext/>
        <w:bidi w:val="1"/>
      </w:pPr>
      <w:r>
        <w:rPr>
          <w:rFonts w:ascii="Arial" w:hAnsi="Arial" w:cs="Arial"/>
          <w:color w:val="000000"/>
          <w:sz w:val="21"/>
          <w:lang w:val="ar-AE" w:bidi="ar-AE"/>
          <w:rtl w:val="1"/>
          <w:szCs w:val="21"/>
        </w:rPr>
        <w:t xml:space="preserve">الجدول </w:t>
      </w:r>
      <w:r>
        <w:rPr>
          <w:rFonts w:ascii="Calibri" w:hAnsi="Calibri" w:cs="Calibri"/>
          <w:color w:val="000000"/>
          <w:sz w:val="21"/>
          <w:lang w:val="en-US" w:bidi="ar-AE"/>
          <w:rtl w:val="0"/>
        </w:rPr>
        <w:t>⁦2⁩</w:t>
      </w:r>
      <w:r>
        <w:rPr>
          <w:rFonts w:ascii="Arial" w:hAnsi="Arial" w:cs="Arial"/>
          <w:color w:val="000000"/>
          <w:sz w:val="21"/>
          <w:lang w:val="ar-AE" w:bidi="ar-AE"/>
          <w:rtl w:val="1"/>
          <w:szCs w:val="21"/>
        </w:rPr>
        <w:t>: زيادة الطاقة الأحفورية المثلى بعد تغيير الترتيب</w:t>
      </w:r>
    </w:p>
    <w:tbl>
      <w:tblPr>
        <w:tblW w:type="auto" w:w="0"/>
        <w:jc w:val="center"/>
        <w:tblLayout w:type="fixed"/>
        <w:tblLook w:firstColumn="1" w:firstRow="1" w:lastColumn="0" w:lastRow="0" w:noHBand="0" w:noVBand="1" w:val="04A0"/>
        <w:bidiVisual/>
        <w:tblBorders>
          <w:top w:val="single" w:sz="4" w:color="C4C4C4"/>
          <w:left w:val="single" w:sz="4" w:color="C4C4C4"/>
          <w:bottom w:val="single" w:sz="4" w:color="C4C4C4"/>
          <w:right w:val="single" w:sz="4" w:color="C4C4C4"/>
          <w:insideH w:val="single" w:sz="4" w:color="C4C4C4"/>
          <w:insideV w:val="single" w:sz="4" w:color="C4C4C4"/>
        </w:tblBorders>
      </w:tblPr>
      <w:tblGrid>
        <w:gridCol w:w="1440"/>
        <w:gridCol w:w="4896"/>
        <w:gridCol w:w="3024"/>
      </w:tblGrid>
      <w:tr>
        <w:trPr>
          <w:cantSplit/>
          <w:tblHeader/>
        </w:trPr>
        <w:tc>
          <w:tcPr>
            <w:tcW w:type="dxa" w:w="1440"/>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الحالة</w:t>
            </w:r>
          </w:p>
        </w:tc>
        <w:tc>
          <w:tcPr>
            <w:tcW w:type="dxa" w:w="4896"/>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 xml:space="preserve">الزيادة المؤكدة ضمن المجال، </w:t>
            </w:r>
            <w:r>
              <w:rPr>
                <w:rFonts w:ascii="Calibri" w:hAnsi="Calibri" w:cs="Calibri"/>
                <w:b/>
                <w:color w:val="000000"/>
                <w:sz w:val="20"/>
                <w:lang w:val="en-US" w:bidi="ar-AE"/>
                <w:rtl w:val="0"/>
              </w:rPr>
              <w:t>⁦MWh⁩</w:t>
            </w:r>
          </w:p>
        </w:tc>
        <w:tc>
          <w:tcPr>
            <w:tcW w:type="dxa" w:w="3024"/>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الزيادة النسبية</w:t>
            </w:r>
          </w:p>
        </w:tc>
      </w:tr>
      <w:tr>
        <w:trPr>
          <w:cantSplit/>
        </w:trPr>
        <w:tc>
          <w:tcPr>
            <w:tcW w:type="dxa" w:w="1440"/>
            <w:vAlign w:val="center"/>
          </w:tcPr>
          <w:p>
            <w:pPr>
              <w:keepNext/>
              <w:spacing w:after="80" w:before="80" w:line="252" w:lineRule="auto"/>
              <w:jc w:val="center"/>
              <w:bidi w:val="0"/>
            </w:pPr>
            <w:r>
              <w:rPr>
                <w:rFonts w:ascii="Calibri" w:hAnsi="Calibri" w:cs="Calibri"/>
                <w:color w:val="000000"/>
                <w:sz w:val="20"/>
                <w:lang w:val="en-US" w:bidi="ar-AE"/>
                <w:rtl w:val="0"/>
              </w:rPr>
              <w:t>26093100</w:t>
            </w:r>
          </w:p>
        </w:tc>
        <w:tc>
          <w:tcPr>
            <w:tcW w:type="dxa" w:w="4896"/>
            <w:vAlign w:val="center"/>
          </w:tcPr>
          <w:p>
            <w:pPr>
              <w:keepNext/>
              <w:spacing w:after="80" w:before="80" w:line="252" w:lineRule="auto"/>
              <w:jc w:val="center"/>
              <w:bidi w:val="0"/>
            </w:pPr>
            <w:r>
              <w:rPr>
                <w:rFonts w:ascii="Calibri" w:hAnsi="Calibri" w:cs="Calibri"/>
                <w:color w:val="000000"/>
                <w:sz w:val="20"/>
                <w:lang w:val="en-US" w:bidi="ar-AE"/>
                <w:rtl w:val="0"/>
              </w:rPr>
              <w:t>[1542.835730, 2546.796204]</w:t>
            </w:r>
          </w:p>
        </w:tc>
        <w:tc>
          <w:tcPr>
            <w:tcW w:type="dxa" w:w="3024"/>
            <w:vAlign w:val="center"/>
          </w:tcPr>
          <w:p>
            <w:pPr>
              <w:keepNext/>
              <w:spacing w:after="80" w:before="80" w:line="252" w:lineRule="auto"/>
              <w:jc w:val="center"/>
              <w:bidi w:val="0"/>
            </w:pPr>
            <w:r>
              <w:rPr>
                <w:rFonts w:ascii="Calibri" w:hAnsi="Calibri" w:cs="Calibri"/>
                <w:color w:val="000000"/>
                <w:sz w:val="20"/>
                <w:lang w:val="en-US" w:bidi="ar-AE"/>
                <w:rtl w:val="0"/>
              </w:rPr>
              <w:t>[6.718221%, 11.261126%]</w:t>
            </w:r>
          </w:p>
        </w:tc>
      </w:tr>
      <w:tr>
        <w:trPr>
          <w:cantSplit/>
        </w:trPr>
        <w:tc>
          <w:tcPr>
            <w:tcW w:type="dxa" w:w="1440"/>
            <w:vAlign w:val="center"/>
          </w:tcPr>
          <w:p>
            <w:pPr>
              <w:keepNext/>
              <w:spacing w:after="80" w:before="80" w:line="252" w:lineRule="auto"/>
              <w:jc w:val="center"/>
              <w:bidi w:val="0"/>
            </w:pPr>
            <w:r>
              <w:rPr>
                <w:rFonts w:ascii="Calibri" w:hAnsi="Calibri" w:cs="Calibri"/>
                <w:color w:val="000000"/>
                <w:sz w:val="20"/>
                <w:lang w:val="en-US" w:bidi="ar-AE"/>
                <w:rtl w:val="0"/>
              </w:rPr>
              <w:t>26093101</w:t>
            </w:r>
          </w:p>
        </w:tc>
        <w:tc>
          <w:tcPr>
            <w:tcW w:type="dxa" w:w="4896"/>
            <w:vAlign w:val="center"/>
          </w:tcPr>
          <w:p>
            <w:pPr>
              <w:keepNext/>
              <w:spacing w:after="80" w:before="80" w:line="252" w:lineRule="auto"/>
              <w:jc w:val="center"/>
              <w:bidi w:val="0"/>
            </w:pPr>
            <w:r>
              <w:rPr>
                <w:rFonts w:ascii="Calibri" w:hAnsi="Calibri" w:cs="Calibri"/>
                <w:color w:val="000000"/>
                <w:sz w:val="20"/>
                <w:lang w:val="en-US" w:bidi="ar-AE"/>
                <w:rtl w:val="0"/>
              </w:rPr>
              <w:t>[2139.151137, 3077.464141]</w:t>
            </w:r>
          </w:p>
        </w:tc>
        <w:tc>
          <w:tcPr>
            <w:tcW w:type="dxa" w:w="3024"/>
            <w:vAlign w:val="center"/>
          </w:tcPr>
          <w:p>
            <w:pPr>
              <w:keepNext/>
              <w:spacing w:after="80" w:before="80" w:line="252" w:lineRule="auto"/>
              <w:jc w:val="center"/>
              <w:bidi w:val="0"/>
            </w:pPr>
            <w:r>
              <w:rPr>
                <w:rFonts w:ascii="Calibri" w:hAnsi="Calibri" w:cs="Calibri"/>
                <w:color w:val="000000"/>
                <w:sz w:val="20"/>
                <w:lang w:val="en-US" w:bidi="ar-AE"/>
                <w:rtl w:val="0"/>
              </w:rPr>
              <w:t>[9.314855%, 13.607571%]</w:t>
            </w:r>
          </w:p>
        </w:tc>
      </w:tr>
      <w:tr>
        <w:trPr>
          <w:cantSplit/>
        </w:trPr>
        <w:tc>
          <w:tcPr>
            <w:tcW w:type="dxa" w:w="1440"/>
            <w:vAlign w:val="center"/>
          </w:tcPr>
          <w:p>
            <w:pPr>
              <w:keepNext/>
              <w:spacing w:after="80" w:before="80" w:line="252" w:lineRule="auto"/>
              <w:jc w:val="center"/>
              <w:bidi w:val="0"/>
            </w:pPr>
            <w:r>
              <w:rPr>
                <w:rFonts w:ascii="Calibri" w:hAnsi="Calibri" w:cs="Calibri"/>
                <w:color w:val="000000"/>
                <w:sz w:val="20"/>
                <w:lang w:val="en-US" w:bidi="ar-AE"/>
                <w:rtl w:val="0"/>
              </w:rPr>
              <w:t>26093200</w:t>
            </w:r>
          </w:p>
        </w:tc>
        <w:tc>
          <w:tcPr>
            <w:tcW w:type="dxa" w:w="4896"/>
            <w:vAlign w:val="center"/>
          </w:tcPr>
          <w:p>
            <w:pPr>
              <w:keepNext/>
              <w:spacing w:after="80" w:before="80" w:line="252" w:lineRule="auto"/>
              <w:jc w:val="center"/>
              <w:bidi w:val="0"/>
            </w:pPr>
            <w:r>
              <w:rPr>
                <w:rFonts w:ascii="Calibri" w:hAnsi="Calibri" w:cs="Calibri"/>
                <w:color w:val="000000"/>
                <w:sz w:val="20"/>
                <w:lang w:val="en-US" w:bidi="ar-AE"/>
                <w:rtl w:val="0"/>
              </w:rPr>
              <w:t>[566.366617, 1336.352662]</w:t>
            </w:r>
          </w:p>
        </w:tc>
        <w:tc>
          <w:tcPr>
            <w:tcW w:type="dxa" w:w="3024"/>
            <w:vAlign w:val="center"/>
          </w:tcPr>
          <w:p>
            <w:pPr>
              <w:keepNext/>
              <w:spacing w:after="80" w:before="80" w:line="252" w:lineRule="auto"/>
              <w:jc w:val="center"/>
              <w:bidi w:val="0"/>
            </w:pPr>
            <w:r>
              <w:rPr>
                <w:rFonts w:ascii="Calibri" w:hAnsi="Calibri" w:cs="Calibri"/>
                <w:color w:val="000000"/>
                <w:sz w:val="20"/>
                <w:lang w:val="en-US" w:bidi="ar-AE"/>
                <w:rtl w:val="0"/>
              </w:rPr>
              <w:t>[2.466222%, 5.908928%]</w:t>
            </w:r>
          </w:p>
        </w:tc>
      </w:tr>
      <w:tr>
        <w:trPr>
          <w:cantSplit/>
        </w:trPr>
        <w:tc>
          <w:tcPr>
            <w:tcW w:type="dxa" w:w="1440"/>
            <w:vAlign w:val="center"/>
          </w:tcPr>
          <w:p>
            <w:pPr>
              <w:keepNext w:val="0"/>
              <w:spacing w:after="80" w:before="80" w:line="252" w:lineRule="auto"/>
              <w:jc w:val="center"/>
              <w:bidi w:val="0"/>
            </w:pPr>
            <w:r>
              <w:rPr>
                <w:rFonts w:ascii="Calibri" w:hAnsi="Calibri" w:cs="Calibri"/>
                <w:color w:val="000000"/>
                <w:sz w:val="20"/>
                <w:lang w:val="en-US" w:bidi="ar-AE"/>
                <w:rtl w:val="0"/>
              </w:rPr>
              <w:t>26093201</w:t>
            </w:r>
          </w:p>
        </w:tc>
        <w:tc>
          <w:tcPr>
            <w:tcW w:type="dxa" w:w="4896"/>
            <w:vAlign w:val="center"/>
          </w:tcPr>
          <w:p>
            <w:pPr>
              <w:keepNext w:val="0"/>
              <w:spacing w:after="80" w:before="80" w:line="252" w:lineRule="auto"/>
              <w:jc w:val="center"/>
              <w:bidi w:val="0"/>
            </w:pPr>
            <w:r>
              <w:rPr>
                <w:rFonts w:ascii="Calibri" w:hAnsi="Calibri" w:cs="Calibri"/>
                <w:color w:val="000000"/>
                <w:sz w:val="20"/>
                <w:lang w:val="en-US" w:bidi="ar-AE"/>
                <w:rtl w:val="0"/>
              </w:rPr>
              <w:t>[858.121844, 1408.976215]</w:t>
            </w:r>
          </w:p>
        </w:tc>
        <w:tc>
          <w:tcPr>
            <w:tcW w:type="dxa" w:w="3024"/>
            <w:vAlign w:val="center"/>
          </w:tcPr>
          <w:p>
            <w:pPr>
              <w:keepNext w:val="0"/>
              <w:spacing w:after="80" w:before="80" w:line="252" w:lineRule="auto"/>
              <w:jc w:val="center"/>
              <w:bidi w:val="0"/>
            </w:pPr>
            <w:r>
              <w:rPr>
                <w:rFonts w:ascii="Calibri" w:hAnsi="Calibri" w:cs="Calibri"/>
                <w:color w:val="000000"/>
                <w:sz w:val="20"/>
                <w:lang w:val="en-US" w:bidi="ar-AE"/>
                <w:rtl w:val="0"/>
              </w:rPr>
              <w:t>[3.736660%, 6.230047%]</w:t>
            </w:r>
          </w:p>
        </w:tc>
      </w:tr>
    </w:tbl>
    <w:p>
      <w:pPr>
        <w:jc w:val="start"/>
        <w:bidi w:val="1"/>
      </w:pPr>
      <w:r>
        <w:rPr>
          <w:rFonts w:ascii="Arial" w:hAnsi="Arial" w:cs="Arial"/>
          <w:color w:val="000000"/>
          <w:lang w:val="ar-AE" w:bidi="ar-AE"/>
          <w:rtl w:val="1"/>
        </w:rPr>
        <w:t xml:space="preserve">بمعنى عملي: حتى أفضل خطة في الترتيب المعدّل تحتاج طاقة أحفورية أكثر من أفضل خطة في الترتيب الأصلي. ومع تثبيت ساعة اليوم، لا تقل الزيادة عن نحو </w:t>
      </w:r>
      <w:r>
        <w:rPr>
          <w:rFonts w:ascii="Calibri" w:hAnsi="Calibri" w:cs="Calibri"/>
          <w:color w:val="000000"/>
          <w:lang w:val="en-US" w:bidi="ar-AE"/>
          <w:rtl w:val="0"/>
        </w:rPr>
        <w:t>⁦566⁩</w:t>
      </w:r>
      <w:r>
        <w:rPr>
          <w:rFonts w:ascii="Arial" w:hAnsi="Arial" w:cs="Arial"/>
          <w:color w:val="000000"/>
          <w:lang w:val="ar-AE" w:bidi="ar-AE"/>
          <w:rtl w:val="1"/>
        </w:rPr>
        <w:t xml:space="preserve"> أو </w:t>
      </w:r>
      <w:r>
        <w:rPr>
          <w:rFonts w:ascii="Calibri" w:hAnsi="Calibri" w:cs="Calibri"/>
          <w:color w:val="000000"/>
          <w:lang w:val="en-US" w:bidi="ar-AE"/>
          <w:rtl w:val="0"/>
        </w:rPr>
        <w:t>⁦858⁩</w:t>
      </w:r>
      <w:r>
        <w:rPr>
          <w:rFonts w:ascii="Arial" w:hAnsi="Arial" w:cs="Arial"/>
          <w:color w:val="000000"/>
          <w:lang w:val="ar-AE" w:bidi="ar-AE"/>
          <w:rtl w:val="1"/>
        </w:rPr>
        <w:t xml:space="preserve"> ميغاواط ساعة في المثالين؛ وتبلغ الزيادة النسبية المؤكدة ضمن المجالين </w:t>
      </w:r>
      <w:r>
        <w:rPr>
          <w:rFonts w:ascii="Calibri" w:hAnsi="Calibri" w:cs="Calibri"/>
          <w:color w:val="000000"/>
          <w:lang w:val="en-US" w:bidi="ar-AE"/>
          <w:rtl w:val="0"/>
        </w:rPr>
        <w:t>⁦2.466222–5.908928%⁩</w:t>
      </w:r>
      <w:r>
        <w:rPr>
          <w:rFonts w:ascii="Arial" w:hAnsi="Arial" w:cs="Arial"/>
          <w:color w:val="000000"/>
          <w:lang w:val="ar-AE" w:bidi="ar-AE"/>
          <w:rtl w:val="1"/>
        </w:rPr>
        <w:t xml:space="preserve"> و</w:t>
      </w:r>
      <w:r>
        <w:rPr>
          <w:rFonts w:ascii="Calibri" w:hAnsi="Calibri" w:cs="Calibri"/>
          <w:color w:val="000000"/>
          <w:lang w:val="en-US" w:bidi="ar-AE"/>
          <w:rtl w:val="0"/>
        </w:rPr>
        <w:t>⁦3.736660–6.230047%⁩</w:t>
      </w:r>
      <w:r>
        <w:rPr>
          <w:rFonts w:ascii="Arial" w:hAnsi="Arial" w:cs="Arial"/>
          <w:color w:val="000000"/>
          <w:lang w:val="ar-AE" w:bidi="ar-AE"/>
          <w:rtl w:val="1"/>
        </w:rPr>
        <w:t xml:space="preserve">. هذه ليست كمية وقود، ولا انبعاثات، ولا وفرًا تشغيليًا ثبت في محطة. يوضح الشكل </w:t>
      </w:r>
      <w:r>
        <w:rPr>
          <w:rFonts w:ascii="Calibri" w:hAnsi="Calibri" w:cs="Calibri"/>
          <w:color w:val="000000"/>
          <w:lang w:val="en-US" w:bidi="ar-AE"/>
          <w:rtl w:val="0"/>
        </w:rPr>
        <w:t>⁦1⁩</w:t>
      </w:r>
      <w:r>
        <w:rPr>
          <w:rFonts w:ascii="Arial" w:hAnsi="Arial" w:cs="Arial"/>
          <w:color w:val="000000"/>
          <w:lang w:val="ar-AE" w:bidi="ar-AE"/>
          <w:rtl w:val="1"/>
        </w:rPr>
        <w:t xml:space="preserve"> الحالات الثماني الواردة في الجدولين </w:t>
      </w:r>
      <w:r>
        <w:rPr>
          <w:rFonts w:ascii="Calibri" w:hAnsi="Calibri" w:cs="Calibri"/>
          <w:color w:val="000000"/>
          <w:lang w:val="en-US" w:bidi="ar-AE"/>
          <w:rtl w:val="0"/>
        </w:rPr>
        <w:t>⁦2⁩</w:t>
      </w:r>
      <w:r>
        <w:rPr>
          <w:rFonts w:ascii="Arial" w:hAnsi="Arial" w:cs="Arial"/>
          <w:color w:val="000000"/>
          <w:lang w:val="ar-AE" w:bidi="ar-AE"/>
          <w:rtl w:val="1"/>
        </w:rPr>
        <w:t xml:space="preserve"> و</w:t>
      </w:r>
      <w:r>
        <w:rPr>
          <w:rFonts w:ascii="Calibri" w:hAnsi="Calibri" w:cs="Calibri"/>
          <w:color w:val="000000"/>
          <w:lang w:val="en-US" w:bidi="ar-AE"/>
          <w:rtl w:val="0"/>
        </w:rPr>
        <w:t>⁦3⁩</w:t>
      </w:r>
      <w:r>
        <w:rPr>
          <w:rFonts w:ascii="Calibri" w:hAnsi="Calibri" w:cs="Calibri"/>
          <w:color w:val="000000"/>
          <w:lang w:val="en-US" w:bidi="ar-AE"/>
          <w:rtl w:val="0"/>
        </w:rPr>
        <w:t>.</w:t>
      </w:r>
    </w:p>
    <w:p>
      <w:pPr>
        <w:jc w:val="start"/>
        <w:bidi w:val="1"/>
      </w:pPr>
      <w:r>
        <w:rPr>
          <w:rFonts w:ascii="Arial" w:hAnsi="Arial" w:cs="Arial"/>
          <w:color w:val="000000"/>
          <w:lang w:val="ar-AE" w:bidi="ar-AE"/>
          <w:rtl w:val="1"/>
        </w:rPr>
        <w:t xml:space="preserve">اكتملت متابعة الطاقة للأسابيع الإضافية أيضًا. أُزيل السقف فقط من الحالات الأربع المحددة سابقًا، بما فيها الحالة غير المحسومة، وقُبل لكل منها جدول ثنائي وحد أدنى دقيق للطاقة. يبين الجدول </w:t>
      </w:r>
      <w:r>
        <w:rPr>
          <w:rFonts w:ascii="Calibri" w:hAnsi="Calibri" w:cs="Calibri"/>
          <w:color w:val="000000"/>
          <w:lang w:val="en-US" w:bidi="ar-AE"/>
          <w:rtl w:val="0"/>
        </w:rPr>
        <w:t>⁦3⁩</w:t>
      </w:r>
      <w:r>
        <w:rPr>
          <w:rFonts w:ascii="Arial" w:hAnsi="Arial" w:cs="Arial"/>
          <w:color w:val="000000"/>
          <w:lang w:val="ar-AE" w:bidi="ar-AE"/>
          <w:rtl w:val="1"/>
        </w:rPr>
        <w:t xml:space="preserve"> مجالات الفرق بين الطاقة المثلى لكل ترتيب والطاقة المثلى لأصل أسبوعه؛ جميع الأطراف الدنيا موجبة. لم تُستبدل الحالات ولم تتكرر محاولات الحل.</w:t>
      </w:r>
    </w:p>
    <w:p>
      <w:pPr>
        <w:pStyle w:val="Caption"/>
        <w:jc w:val="start"/>
        <w:keepNext/>
        <w:bidi w:val="1"/>
      </w:pPr>
      <w:r>
        <w:rPr>
          <w:rFonts w:ascii="Arial" w:hAnsi="Arial" w:cs="Arial"/>
          <w:color w:val="000000"/>
          <w:sz w:val="21"/>
          <w:lang w:val="ar-AE" w:bidi="ar-AE"/>
          <w:rtl w:val="1"/>
          <w:szCs w:val="21"/>
        </w:rPr>
        <w:t xml:space="preserve">الجدول </w:t>
      </w:r>
      <w:r>
        <w:rPr>
          <w:rFonts w:ascii="Calibri" w:hAnsi="Calibri" w:cs="Calibri"/>
          <w:color w:val="000000"/>
          <w:sz w:val="21"/>
          <w:lang w:val="en-US" w:bidi="ar-AE"/>
          <w:rtl w:val="0"/>
        </w:rPr>
        <w:t>⁦3⁩</w:t>
      </w:r>
      <w:r>
        <w:rPr>
          <w:rFonts w:ascii="Arial" w:hAnsi="Arial" w:cs="Arial"/>
          <w:color w:val="000000"/>
          <w:sz w:val="21"/>
          <w:lang w:val="ar-AE" w:bidi="ar-AE"/>
          <w:rtl w:val="1"/>
          <w:szCs w:val="21"/>
        </w:rPr>
        <w:t>: زيادة الطاقة المثلى في أسبوعي يناير الإضافيين</w:t>
      </w:r>
    </w:p>
    <w:tbl>
      <w:tblPr>
        <w:tblW w:type="auto" w:w="0"/>
        <w:jc w:val="center"/>
        <w:tblLayout w:type="fixed"/>
        <w:tblLook w:firstColumn="1" w:firstRow="1" w:lastColumn="0" w:lastRow="0" w:noHBand="0" w:noVBand="1" w:val="04A0"/>
        <w:bidiVisual/>
        <w:tblBorders>
          <w:top w:val="single" w:sz="4" w:color="C4C4C4"/>
          <w:left w:val="single" w:sz="4" w:color="C4C4C4"/>
          <w:bottom w:val="single" w:sz="4" w:color="C4C4C4"/>
          <w:right w:val="single" w:sz="4" w:color="C4C4C4"/>
          <w:insideH w:val="single" w:sz="4" w:color="C4C4C4"/>
          <w:insideV w:val="single" w:sz="4" w:color="C4C4C4"/>
        </w:tblBorders>
      </w:tblPr>
      <w:tblGrid>
        <w:gridCol w:w="792"/>
        <w:gridCol w:w="1512"/>
        <w:gridCol w:w="3960"/>
        <w:gridCol w:w="3096"/>
      </w:tblGrid>
      <w:tr>
        <w:trPr>
          <w:cantSplit/>
          <w:tblHeader/>
        </w:trPr>
        <w:tc>
          <w:tcPr>
            <w:tcW w:type="dxa" w:w="792"/>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الأسبوع</w:t>
            </w:r>
          </w:p>
        </w:tc>
        <w:tc>
          <w:tcPr>
            <w:tcW w:type="dxa" w:w="1512"/>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الحالة</w:t>
            </w:r>
          </w:p>
        </w:tc>
        <w:tc>
          <w:tcPr>
            <w:tcW w:type="dxa" w:w="3960"/>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 xml:space="preserve">مجال الزيادة، </w:t>
            </w:r>
            <w:r>
              <w:rPr>
                <w:rFonts w:ascii="Calibri" w:hAnsi="Calibri" w:cs="Calibri"/>
                <w:b/>
                <w:color w:val="000000"/>
                <w:sz w:val="20"/>
                <w:lang w:val="en-US" w:bidi="ar-AE"/>
                <w:rtl w:val="0"/>
              </w:rPr>
              <w:t>⁦MWh⁩</w:t>
            </w:r>
          </w:p>
        </w:tc>
        <w:tc>
          <w:tcPr>
            <w:tcW w:type="dxa" w:w="3096"/>
            <w:vAlign w:val="center"/>
            <w:shd w:fill="F0F0F0"/>
          </w:tcPr>
          <w:p>
            <w:pPr>
              <w:keepNext/>
              <w:spacing w:after="80" w:before="80" w:line="252" w:lineRule="auto"/>
              <w:jc w:val="start"/>
              <w:bidi w:val="1"/>
            </w:pPr>
            <w:r>
              <w:rPr>
                <w:rFonts w:ascii="Arial" w:hAnsi="Arial" w:cs="Arial"/>
                <w:b/>
                <w:color w:val="000000"/>
                <w:sz w:val="20"/>
                <w:lang w:val="ar-AE" w:bidi="ar-AE"/>
                <w:rtl w:val="1"/>
                <w:szCs w:val="20"/>
              </w:rPr>
              <w:t>مجال النسبة</w:t>
            </w:r>
          </w:p>
        </w:tc>
      </w:tr>
      <w:tr>
        <w:trPr>
          <w:cantSplit/>
        </w:trPr>
        <w:tc>
          <w:tcPr>
            <w:tcW w:type="dxa" w:w="792"/>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512"/>
            <w:vAlign w:val="center"/>
          </w:tcPr>
          <w:p>
            <w:pPr>
              <w:keepNext/>
              <w:spacing w:after="80" w:before="80" w:line="252" w:lineRule="auto"/>
              <w:jc w:val="center"/>
              <w:bidi w:val="0"/>
            </w:pPr>
            <w:r>
              <w:rPr>
                <w:rFonts w:ascii="Calibri" w:hAnsi="Calibri" w:cs="Calibri"/>
                <w:color w:val="000000"/>
                <w:sz w:val="20"/>
                <w:lang w:val="en-US" w:bidi="ar-AE"/>
                <w:rtl w:val="0"/>
              </w:rPr>
              <w:t>26093210</w:t>
            </w:r>
          </w:p>
        </w:tc>
        <w:tc>
          <w:tcPr>
            <w:tcW w:type="dxa" w:w="3960"/>
            <w:vAlign w:val="center"/>
          </w:tcPr>
          <w:p>
            <w:pPr>
              <w:keepNext/>
              <w:spacing w:after="80" w:before="80" w:line="252" w:lineRule="auto"/>
              <w:jc w:val="center"/>
              <w:bidi w:val="0"/>
            </w:pPr>
            <w:r>
              <w:rPr>
                <w:rFonts w:ascii="Calibri" w:hAnsi="Calibri" w:cs="Calibri"/>
                <w:color w:val="000000"/>
                <w:sz w:val="20"/>
                <w:lang w:val="en-US" w:bidi="ar-AE"/>
                <w:rtl w:val="0"/>
              </w:rPr>
              <w:t>574.017996–1815.622131</w:t>
            </w:r>
          </w:p>
        </w:tc>
        <w:tc>
          <w:tcPr>
            <w:tcW w:type="dxa" w:w="3096"/>
            <w:vAlign w:val="center"/>
          </w:tcPr>
          <w:p>
            <w:pPr>
              <w:keepNext/>
              <w:spacing w:after="80" w:before="80" w:line="252" w:lineRule="auto"/>
              <w:jc w:val="center"/>
              <w:bidi w:val="0"/>
            </w:pPr>
            <w:r>
              <w:rPr>
                <w:rFonts w:ascii="Calibri" w:hAnsi="Calibri" w:cs="Calibri"/>
                <w:color w:val="000000"/>
                <w:sz w:val="20"/>
                <w:lang w:val="en-US" w:bidi="ar-AE"/>
                <w:rtl w:val="0"/>
              </w:rPr>
              <w:t>2.185149–7.016271%</w:t>
            </w:r>
          </w:p>
        </w:tc>
      </w:tr>
      <w:tr>
        <w:trPr>
          <w:cantSplit/>
        </w:trPr>
        <w:tc>
          <w:tcPr>
            <w:tcW w:type="dxa" w:w="792"/>
            <w:vAlign w:val="center"/>
          </w:tcPr>
          <w:p>
            <w:pPr>
              <w:keepNext/>
              <w:spacing w:after="80" w:before="80" w:line="252" w:lineRule="auto"/>
              <w:jc w:val="center"/>
              <w:bidi w:val="0"/>
            </w:pPr>
            <w:r>
              <w:rPr>
                <w:rFonts w:ascii="Calibri" w:hAnsi="Calibri" w:cs="Calibri"/>
                <w:color w:val="000000"/>
                <w:sz w:val="20"/>
                <w:lang w:val="en-US" w:bidi="ar-AE"/>
                <w:rtl w:val="0"/>
              </w:rPr>
              <w:t>2</w:t>
            </w:r>
          </w:p>
        </w:tc>
        <w:tc>
          <w:tcPr>
            <w:tcW w:type="dxa" w:w="1512"/>
            <w:vAlign w:val="center"/>
          </w:tcPr>
          <w:p>
            <w:pPr>
              <w:keepNext/>
              <w:spacing w:after="80" w:before="80" w:line="252" w:lineRule="auto"/>
              <w:jc w:val="center"/>
              <w:bidi w:val="0"/>
            </w:pPr>
            <w:r>
              <w:rPr>
                <w:rFonts w:ascii="Calibri" w:hAnsi="Calibri" w:cs="Calibri"/>
                <w:color w:val="000000"/>
                <w:sz w:val="20"/>
                <w:lang w:val="en-US" w:bidi="ar-AE"/>
                <w:rtl w:val="0"/>
              </w:rPr>
              <w:t>26093211</w:t>
            </w:r>
          </w:p>
        </w:tc>
        <w:tc>
          <w:tcPr>
            <w:tcW w:type="dxa" w:w="3960"/>
            <w:vAlign w:val="center"/>
          </w:tcPr>
          <w:p>
            <w:pPr>
              <w:keepNext/>
              <w:spacing w:after="80" w:before="80" w:line="252" w:lineRule="auto"/>
              <w:jc w:val="center"/>
              <w:bidi w:val="0"/>
            </w:pPr>
            <w:r>
              <w:rPr>
                <w:rFonts w:ascii="Calibri" w:hAnsi="Calibri" w:cs="Calibri"/>
                <w:color w:val="000000"/>
                <w:sz w:val="20"/>
                <w:lang w:val="en-US" w:bidi="ar-AE"/>
                <w:rtl w:val="0"/>
              </w:rPr>
              <w:t>89.056939–2303.990067</w:t>
            </w:r>
          </w:p>
        </w:tc>
        <w:tc>
          <w:tcPr>
            <w:tcW w:type="dxa" w:w="3096"/>
            <w:vAlign w:val="center"/>
          </w:tcPr>
          <w:p>
            <w:pPr>
              <w:keepNext/>
              <w:spacing w:after="80" w:before="80" w:line="252" w:lineRule="auto"/>
              <w:jc w:val="center"/>
              <w:bidi w:val="0"/>
            </w:pPr>
            <w:r>
              <w:rPr>
                <w:rFonts w:ascii="Calibri" w:hAnsi="Calibri" w:cs="Calibri"/>
                <w:color w:val="000000"/>
                <w:sz w:val="20"/>
                <w:lang w:val="en-US" w:bidi="ar-AE"/>
                <w:rtl w:val="0"/>
              </w:rPr>
              <w:t>0.339018–8.903515%</w:t>
            </w:r>
          </w:p>
        </w:tc>
      </w:tr>
      <w:tr>
        <w:trPr>
          <w:cantSplit/>
        </w:trPr>
        <w:tc>
          <w:tcPr>
            <w:tcW w:type="dxa" w:w="792"/>
            <w:vAlign w:val="center"/>
          </w:tcPr>
          <w:p>
            <w:pPr>
              <w:keepNext/>
              <w:spacing w:after="80" w:before="80" w:line="252" w:lineRule="auto"/>
              <w:jc w:val="center"/>
              <w:bidi w:val="0"/>
            </w:pPr>
            <w:r>
              <w:rPr>
                <w:rFonts w:ascii="Calibri" w:hAnsi="Calibri" w:cs="Calibri"/>
                <w:color w:val="000000"/>
                <w:sz w:val="20"/>
                <w:lang w:val="en-US" w:bidi="ar-AE"/>
                <w:rtl w:val="0"/>
              </w:rPr>
              <w:t>3</w:t>
            </w:r>
          </w:p>
        </w:tc>
        <w:tc>
          <w:tcPr>
            <w:tcW w:type="dxa" w:w="1512"/>
            <w:vAlign w:val="center"/>
          </w:tcPr>
          <w:p>
            <w:pPr>
              <w:keepNext/>
              <w:spacing w:after="80" w:before="80" w:line="252" w:lineRule="auto"/>
              <w:jc w:val="center"/>
              <w:bidi w:val="0"/>
            </w:pPr>
            <w:r>
              <w:rPr>
                <w:rFonts w:ascii="Calibri" w:hAnsi="Calibri" w:cs="Calibri"/>
                <w:color w:val="000000"/>
                <w:sz w:val="20"/>
                <w:lang w:val="en-US" w:bidi="ar-AE"/>
                <w:rtl w:val="0"/>
              </w:rPr>
              <w:t>26093220</w:t>
            </w:r>
          </w:p>
        </w:tc>
        <w:tc>
          <w:tcPr>
            <w:tcW w:type="dxa" w:w="3960"/>
            <w:vAlign w:val="center"/>
          </w:tcPr>
          <w:p>
            <w:pPr>
              <w:keepNext/>
              <w:spacing w:after="80" w:before="80" w:line="252" w:lineRule="auto"/>
              <w:jc w:val="center"/>
              <w:bidi w:val="0"/>
            </w:pPr>
            <w:r>
              <w:rPr>
                <w:rFonts w:ascii="Calibri" w:hAnsi="Calibri" w:cs="Calibri"/>
                <w:color w:val="000000"/>
                <w:sz w:val="20"/>
                <w:lang w:val="en-US" w:bidi="ar-AE"/>
                <w:rtl w:val="0"/>
              </w:rPr>
              <w:t>1082.076498–1856.243776</w:t>
            </w:r>
          </w:p>
        </w:tc>
        <w:tc>
          <w:tcPr>
            <w:tcW w:type="dxa" w:w="3096"/>
            <w:vAlign w:val="center"/>
          </w:tcPr>
          <w:p>
            <w:pPr>
              <w:keepNext/>
              <w:spacing w:after="80" w:before="80" w:line="252" w:lineRule="auto"/>
              <w:jc w:val="center"/>
              <w:bidi w:val="0"/>
            </w:pPr>
            <w:r>
              <w:rPr>
                <w:rFonts w:ascii="Calibri" w:hAnsi="Calibri" w:cs="Calibri"/>
                <w:color w:val="000000"/>
                <w:sz w:val="20"/>
                <w:lang w:val="en-US" w:bidi="ar-AE"/>
                <w:rtl w:val="0"/>
              </w:rPr>
              <w:t>2.261852–3.910485%</w:t>
            </w:r>
          </w:p>
        </w:tc>
      </w:tr>
      <w:tr>
        <w:trPr>
          <w:cantSplit/>
        </w:trPr>
        <w:tc>
          <w:tcPr>
            <w:tcW w:type="dxa" w:w="792"/>
            <w:vAlign w:val="center"/>
          </w:tcPr>
          <w:p>
            <w:pPr>
              <w:keepNext w:val="0"/>
              <w:spacing w:after="80" w:before="80" w:line="252" w:lineRule="auto"/>
              <w:jc w:val="center"/>
              <w:bidi w:val="0"/>
            </w:pPr>
            <w:r>
              <w:rPr>
                <w:rFonts w:ascii="Calibri" w:hAnsi="Calibri" w:cs="Calibri"/>
                <w:color w:val="000000"/>
                <w:sz w:val="20"/>
                <w:lang w:val="en-US" w:bidi="ar-AE"/>
                <w:rtl w:val="0"/>
              </w:rPr>
              <w:t>3</w:t>
            </w:r>
          </w:p>
        </w:tc>
        <w:tc>
          <w:tcPr>
            <w:tcW w:type="dxa" w:w="1512"/>
            <w:vAlign w:val="center"/>
          </w:tcPr>
          <w:p>
            <w:pPr>
              <w:keepNext w:val="0"/>
              <w:spacing w:after="80" w:before="80" w:line="252" w:lineRule="auto"/>
              <w:jc w:val="center"/>
              <w:bidi w:val="0"/>
            </w:pPr>
            <w:r>
              <w:rPr>
                <w:rFonts w:ascii="Calibri" w:hAnsi="Calibri" w:cs="Calibri"/>
                <w:color w:val="000000"/>
                <w:sz w:val="20"/>
                <w:lang w:val="en-US" w:bidi="ar-AE"/>
                <w:rtl w:val="0"/>
              </w:rPr>
              <w:t>26093221</w:t>
            </w:r>
          </w:p>
        </w:tc>
        <w:tc>
          <w:tcPr>
            <w:tcW w:type="dxa" w:w="3960"/>
            <w:vAlign w:val="center"/>
          </w:tcPr>
          <w:p>
            <w:pPr>
              <w:keepNext w:val="0"/>
              <w:spacing w:after="80" w:before="80" w:line="252" w:lineRule="auto"/>
              <w:jc w:val="center"/>
              <w:bidi w:val="0"/>
            </w:pPr>
            <w:r>
              <w:rPr>
                <w:rFonts w:ascii="Calibri" w:hAnsi="Calibri" w:cs="Calibri"/>
                <w:color w:val="000000"/>
                <w:sz w:val="20"/>
                <w:lang w:val="en-US" w:bidi="ar-AE"/>
                <w:rtl w:val="0"/>
              </w:rPr>
              <w:t>1048.824076–2458.387516</w:t>
            </w:r>
          </w:p>
        </w:tc>
        <w:tc>
          <w:tcPr>
            <w:tcW w:type="dxa" w:w="3096"/>
            <w:vAlign w:val="center"/>
          </w:tcPr>
          <w:p>
            <w:pPr>
              <w:keepNext w:val="0"/>
              <w:spacing w:after="80" w:before="80" w:line="252" w:lineRule="auto"/>
              <w:jc w:val="center"/>
              <w:bidi w:val="0"/>
            </w:pPr>
            <w:r>
              <w:rPr>
                <w:rFonts w:ascii="Calibri" w:hAnsi="Calibri" w:cs="Calibri"/>
                <w:color w:val="000000"/>
                <w:sz w:val="20"/>
                <w:lang w:val="en-US" w:bidi="ar-AE"/>
                <w:rtl w:val="0"/>
              </w:rPr>
              <w:t>2.192345–5.179001%</w:t>
            </w:r>
          </w:p>
        </w:tc>
      </w:tr>
    </w:tbl>
    <w:p>
      <w:pPr>
        <w:jc w:val="start"/>
        <w:bidi w:val="1"/>
      </w:pPr>
      <w:r>
        <w:rPr>
          <w:rFonts w:ascii="Arial" w:hAnsi="Arial" w:cs="Arial"/>
          <w:color w:val="000000"/>
          <w:lang w:val="ar-AE" w:bidi="ar-AE"/>
          <w:rtl w:val="1"/>
        </w:rPr>
        <w:t xml:space="preserve">الحالة </w:t>
      </w:r>
      <w:r>
        <w:rPr>
          <w:rFonts w:ascii="Calibri" w:hAnsi="Calibri" w:cs="Calibri"/>
          <w:color w:val="000000"/>
          <w:lang w:val="en-US" w:bidi="ar-AE"/>
          <w:rtl w:val="0"/>
        </w:rPr>
        <w:t>⁦26093211⁩</w:t>
      </w:r>
      <w:r>
        <w:rPr>
          <w:rFonts w:ascii="Arial" w:hAnsi="Arial" w:cs="Arial"/>
          <w:color w:val="000000"/>
          <w:lang w:val="ar-AE" w:bidi="ar-AE"/>
          <w:rtl w:val="1"/>
        </w:rPr>
        <w:t xml:space="preserve"> توضح فرقًا مهمًا: ثبت أن طاقتها المثلى تزيد بما لا يقل عن </w:t>
      </w:r>
      <w:r>
        <w:rPr>
          <w:rFonts w:ascii="Calibri" w:hAnsi="Calibri" w:cs="Calibri"/>
          <w:color w:val="000000"/>
          <w:lang w:val="en-US" w:bidi="ar-AE"/>
          <w:rtl w:val="0"/>
        </w:rPr>
        <w:t>⁦89.056939⁩</w:t>
      </w:r>
      <w:r>
        <w:rPr>
          <w:rFonts w:ascii="Arial" w:hAnsi="Arial" w:cs="Arial"/>
          <w:color w:val="000000"/>
          <w:lang w:val="ar-AE" w:bidi="ar-AE"/>
          <w:rtl w:val="1"/>
        </w:rPr>
        <w:t xml:space="preserve"> ميغاواط ساعة، لكننا لا نعرف بعد هل يمكن تشغيلها تحت سقفها الأصلي </w:t>
      </w:r>
      <w:r>
        <w:rPr>
          <w:rFonts w:ascii="Calibri" w:hAnsi="Calibri" w:cs="Calibri"/>
          <w:color w:val="000000"/>
          <w:lang w:val="en-US" w:bidi="ar-AE"/>
          <w:rtl w:val="0"/>
        </w:rPr>
        <w:t>⁦26532⁩</w:t>
      </w:r>
      <w:r>
        <w:rPr>
          <w:rFonts w:ascii="Arial" w:hAnsi="Arial" w:cs="Arial"/>
          <w:color w:val="000000"/>
          <w:lang w:val="ar-AE" w:bidi="ar-AE"/>
          <w:rtl w:val="1"/>
        </w:rPr>
        <w:t xml:space="preserve"> ميغاواط ساعة. الحد الأدنى المحسوب لها، نحو </w:t>
      </w:r>
      <w:r>
        <w:rPr>
          <w:rFonts w:ascii="Calibri" w:hAnsi="Calibri" w:cs="Calibri"/>
          <w:color w:val="000000"/>
          <w:lang w:val="en-US" w:bidi="ar-AE"/>
          <w:rtl w:val="0"/>
        </w:rPr>
        <w:t>⁦26358.110476⁩</w:t>
      </w:r>
      <w:r>
        <w:rPr>
          <w:rFonts w:ascii="Arial" w:hAnsi="Arial" w:cs="Arial"/>
          <w:color w:val="000000"/>
          <w:lang w:val="ar-AE" w:bidi="ar-AE"/>
          <w:rtl w:val="1"/>
        </w:rPr>
        <w:t>، أقل من السقف، والجدول المقبول أعلى منه. لذلك بقي حكمها تحت ذلك السقف «غير محسوم». أصبحت لدينا زيادة طاقة مؤكدة في الحالات الست التي تثبت ساعة اليوم، مع خمس شهادات تعذّر تحت السقوف المختارة؛ لا نخلط النتيجتين.</w:t>
      </w:r>
    </w:p>
    <w:p>
      <w:pPr>
        <w:keepNext/>
        <w:jc w:val="center"/>
      </w:pPr>
      <w:r>
        <w:drawing>
          <wp:inline xmlns:a="http://schemas.openxmlformats.org/drawingml/2006/main" xmlns:pic="http://schemas.openxmlformats.org/drawingml/2006/picture">
            <wp:extent cx="5715000" cy="3718193"/>
            <wp:docPr id="1" name="Picture 1"/>
            <wp:cNvGraphicFramePr>
              <a:graphicFrameLocks noChangeAspect="1"/>
            </wp:cNvGraphicFramePr>
            <a:graphic>
              <a:graphicData uri="http://schemas.openxmlformats.org/drawingml/2006/picture">
                <pic:pic>
                  <pic:nvPicPr>
                    <pic:cNvPr id="0" name="optimal_energy_differences.png"/>
                    <pic:cNvPicPr/>
                  </pic:nvPicPr>
                  <pic:blipFill>
                    <a:blip r:embed="rId11"/>
                    <a:stretch>
                      <a:fillRect/>
                    </a:stretch>
                  </pic:blipFill>
                  <pic:spPr>
                    <a:xfrm>
                      <a:off x="0" y="0"/>
                      <a:ext cx="5715000" cy="3718193"/>
                    </a:xfrm>
                    <a:prstGeom prst="rect"/>
                  </pic:spPr>
                </pic:pic>
              </a:graphicData>
            </a:graphic>
          </wp:inline>
        </w:drawing>
      </w:r>
    </w:p>
    <w:p>
      <w:pPr>
        <w:pStyle w:val="Caption"/>
        <w:jc w:val="start"/>
        <w:bidi w:val="1"/>
      </w:pPr>
      <w:r>
        <w:rPr>
          <w:rFonts w:ascii="Arial" w:hAnsi="Arial" w:cs="Arial"/>
          <w:color w:val="000000"/>
          <w:sz w:val="21"/>
          <w:lang w:val="ar-AE" w:bidi="ar-AE"/>
          <w:rtl w:val="1"/>
          <w:szCs w:val="21"/>
        </w:rPr>
        <w:t xml:space="preserve">الشكل </w:t>
      </w:r>
      <w:r>
        <w:rPr>
          <w:rFonts w:ascii="Calibri" w:hAnsi="Calibri" w:cs="Calibri"/>
          <w:color w:val="000000"/>
          <w:sz w:val="21"/>
          <w:lang w:val="en-US" w:bidi="ar-AE"/>
          <w:rtl w:val="0"/>
        </w:rPr>
        <w:t>⁦1⁩</w:t>
      </w:r>
      <w:r>
        <w:rPr>
          <w:rFonts w:ascii="Arial" w:hAnsi="Arial" w:cs="Arial"/>
          <w:color w:val="000000"/>
          <w:sz w:val="21"/>
          <w:lang w:val="ar-AE" w:bidi="ar-AE"/>
          <w:rtl w:val="1"/>
          <w:szCs w:val="21"/>
        </w:rPr>
        <w:t>: مجالات تحتوي زيادة الطاقة المثلى لكل ترتيب مقارنة بأصل أسبوعه. أول سطرين لتبديل غير مقيد بساعة اليوم، والستة الباقية تثبت الساعة. هذه حدود حسابية وليست فترات ثقة إحصائية؛ واتساعها يعني أن الحل الأمثل نفسه لم يُحسم.</w:t>
      </w:r>
    </w:p>
    <w:p>
      <w:pPr>
        <w:pStyle w:val="Heading1"/>
        <w:jc w:val="start"/>
        <w:bidi w:val="1"/>
      </w:pPr>
      <w:r>
        <w:rPr>
          <w:rFonts w:ascii="Arial" w:hAnsi="Arial" w:cs="Arial"/>
          <w:color w:val="000000"/>
          <w:lang w:val="ar-AE" w:bidi="ar-AE"/>
          <w:rtl w:val="1"/>
        </w:rPr>
        <w:t>لماذا نثق بالنتيجة، وما حدود الدقة؟</w:t>
      </w:r>
    </w:p>
    <w:p>
      <w:pPr>
        <w:jc w:val="start"/>
        <w:bidi w:val="1"/>
      </w:pPr>
      <w:r>
        <w:rPr>
          <w:rFonts w:ascii="Arial" w:hAnsi="Arial" w:cs="Arial"/>
          <w:color w:val="000000"/>
          <w:lang w:val="ar-AE" w:bidi="ar-AE"/>
          <w:rtl w:val="1"/>
        </w:rPr>
        <w:t xml:space="preserve">استُخدمت قيم الأعداد المخزنة فعليًا في الملفات، وحُولت إلى كسور دقيقة لفحص الشهادات والجداول. وسّعنا كل حد عددي محدود بمقدار عددي ثابت قيمته المخزنة تساوي </w:t>
      </w:r>
      <w:r>
        <w:rPr>
          <w:rFonts w:ascii="Calibri" w:hAnsi="Calibri" w:cs="Calibri"/>
          <w:color w:val="000000"/>
          <w:lang w:val="en-US" w:bidi="ar-AE"/>
          <w:rtl w:val="0"/>
        </w:rPr>
        <w:t>⁦1e-5⁩</w:t>
      </w:r>
      <w:r>
        <w:rPr>
          <w:rFonts w:ascii="Arial" w:hAnsi="Arial" w:cs="Arial"/>
          <w:color w:val="000000"/>
          <w:lang w:val="ar-AE" w:bidi="ar-AE"/>
          <w:rtl w:val="1"/>
        </w:rPr>
        <w:t>، مع إبقاء حالات التشغيل ثنائية تمامًا. هذا تعريف معلن للنموذج الذي نثبت عنه النتائج؛ ليس هامش خطأ فيزيائيًا موحدًا، لأن الحدود تحمل وحدات مختلفة. الجداول الإيجابية الحالية لا تحقق جميع حدود النموذج غير الموسّع بدقة تامة، ولذلك لا نسميها حلولًا دقيقة لذلك النموذج الآخر.</w:t>
      </w:r>
    </w:p>
    <w:p>
      <w:pPr>
        <w:jc w:val="start"/>
        <w:bidi w:val="1"/>
      </w:pPr>
      <w:r>
        <w:rPr>
          <w:rFonts w:ascii="Arial" w:hAnsi="Arial" w:cs="Arial"/>
          <w:color w:val="000000"/>
          <w:lang w:val="ar-AE" w:bidi="ar-AE"/>
          <w:rtl w:val="1"/>
        </w:rPr>
        <w:t xml:space="preserve">يمكن لمدقق مستقل مكتوب بمكتبة </w:t>
      </w:r>
      <w:r>
        <w:rPr>
          <w:rFonts w:ascii="Calibri" w:hAnsi="Calibri" w:cs="Calibri"/>
          <w:color w:val="000000"/>
          <w:lang w:val="en-US" w:bidi="ar-AE"/>
          <w:rtl w:val="0"/>
        </w:rPr>
        <w:t>⁦Python⁩</w:t>
      </w:r>
      <w:r>
        <w:rPr>
          <w:rFonts w:ascii="Arial" w:hAnsi="Arial" w:cs="Arial"/>
          <w:color w:val="000000"/>
          <w:lang w:val="ar-AE" w:bidi="ar-AE"/>
          <w:rtl w:val="1"/>
        </w:rPr>
        <w:t xml:space="preserve"> القياسية إعادة فحص الشهادات من دون برنامج تحسين. اجتاز </w:t>
      </w:r>
      <w:r>
        <w:rPr>
          <w:rFonts w:ascii="Calibri" w:hAnsi="Calibri" w:cs="Calibri"/>
          <w:color w:val="000000"/>
          <w:lang w:val="en-US" w:bidi="ar-AE"/>
          <w:rtl w:val="0"/>
        </w:rPr>
        <w:t>⁦35⁩</w:t>
      </w:r>
      <w:r>
        <w:rPr>
          <w:rFonts w:ascii="Arial" w:hAnsi="Arial" w:cs="Arial"/>
          <w:color w:val="000000"/>
          <w:lang w:val="ar-AE" w:bidi="ar-AE"/>
          <w:rtl w:val="1"/>
        </w:rPr>
        <w:t xml:space="preserve"> اختبارًا عدائيًا، ثم اجتازت مجموعة محددة من الحزمة الرابعة إعادة فحص في مسار جديد خلال نحو </w:t>
      </w:r>
      <w:r>
        <w:rPr>
          <w:rFonts w:ascii="Calibri" w:hAnsi="Calibri" w:cs="Calibri"/>
          <w:color w:val="000000"/>
          <w:lang w:val="en-US" w:bidi="ar-AE"/>
          <w:rtl w:val="0"/>
        </w:rPr>
        <w:t>⁦59.57⁩</w:t>
      </w:r>
      <w:r>
        <w:rPr>
          <w:rFonts w:ascii="Arial" w:hAnsi="Arial" w:cs="Arial"/>
          <w:color w:val="000000"/>
          <w:lang w:val="ar-AE" w:bidi="ar-AE"/>
          <w:rtl w:val="1"/>
        </w:rPr>
        <w:t xml:space="preserve"> ثانية: خمس شهادات سلبية، وعشرة جداول ثنائية، وفحوص إضافية وحدود للطاقة ونتائج غير فاصلة. لم يستخدم هذا التشغيل برنامج تحسين أو اتصالًا بالشبكة. يرافق التسليم برنامج إعادة الفحص والبيانات الأصلية المسموح بإعادة توزيعها مع شروط مصدرها. الاختبار على الجهاز نفسه؛ لم ننفذ إعادة بناء كاملة من البيانات الأصلية أو تشغيلًا على جهاز ثانٍ. حساب الحدود الآمنة والتحقق الدقيق لهما سوابق واضحة </w:t>
      </w:r>
      <w:r>
        <w:rPr>
          <w:rFonts w:ascii="Calibri" w:hAnsi="Calibri" w:cs="Calibri"/>
          <w:color w:val="000000"/>
          <w:lang w:val="en-US" w:bidi="ar-AE"/>
          <w:rtl w:val="0"/>
        </w:rPr>
        <w:t>⁦[7، 8]⁩</w:t>
      </w:r>
      <w:r>
        <w:rPr>
          <w:rFonts w:ascii="Calibri" w:hAnsi="Calibri" w:cs="Calibri"/>
          <w:color w:val="000000"/>
          <w:lang w:val="en-US" w:bidi="ar-AE"/>
          <w:rtl w:val="0"/>
        </w:rPr>
        <w:t>.</w:t>
      </w:r>
    </w:p>
    <w:p>
      <w:pPr>
        <w:jc w:val="start"/>
        <w:bidi w:val="1"/>
      </w:pPr>
      <w:r>
        <w:rPr>
          <w:rFonts w:ascii="Arial" w:hAnsi="Arial" w:cs="Arial"/>
          <w:color w:val="000000"/>
          <w:lang w:val="ar-AE" w:bidi="ar-AE"/>
          <w:rtl w:val="1"/>
        </w:rPr>
        <w:t>أظهر تدقيق بنيوي أنه بعد حذف قيود الحد الأدنى لمدة التشغيل والتوقف فقط، تصبح مجموعة الطاقات الممكنة في النموذج المدروس ثابتة تحت تبديل حزم الساعات. هذا يوضح مصدر أثر الترتيب ضمن فرضيات النموذج. لا ينطبق البرهان تلقائيًا عند إضافة تخزين أو قيود تغير قدرة مؤثرة أو شروط بداية مختلفة.</w:t>
      </w:r>
    </w:p>
    <w:p>
      <w:pPr>
        <w:pStyle w:val="Heading1"/>
        <w:jc w:val="start"/>
        <w:bidi w:val="1"/>
      </w:pPr>
      <w:r>
        <w:rPr>
          <w:rFonts w:ascii="Arial" w:hAnsi="Arial" w:cs="Arial"/>
          <w:color w:val="000000"/>
          <w:lang w:val="ar-AE" w:bidi="ar-AE"/>
          <w:rtl w:val="1"/>
        </w:rPr>
        <w:t>النتائج السلبية التي يجب أن تبقى في الورقة</w:t>
      </w:r>
    </w:p>
    <w:p>
      <w:pPr>
        <w:jc w:val="start"/>
        <w:bidi w:val="1"/>
      </w:pPr>
      <w:r>
        <w:rPr>
          <w:rFonts w:ascii="Arial" w:hAnsi="Arial" w:cs="Arial"/>
          <w:color w:val="000000"/>
          <w:lang w:val="ar-AE" w:bidi="ar-AE"/>
          <w:rtl w:val="1"/>
        </w:rPr>
        <w:t>أولًا، من تبديلات الأيام الكاملة الخمسة، ثبتت إمكانية واحدة وبقيت أربع غير محسومة. وثانيًا، لم يعط استكمال أبريل وأكتوبر حالة عادية سلبية مؤكدة؛ لذلك لم يتحقق معيار التكرار عبر أسبوعين في هذه التجربة. وثالثًا، قاعدة تفسير صغيرة نجحت في يوليو لم تنتقل بكفاءة ثابتة إلى يناير؛ وقد تغيرت معها فرضيات النموذج، فلا يمكن عزو الفرق إلى الفصل وحده.</w:t>
      </w:r>
    </w:p>
    <w:p>
      <w:pPr>
        <w:jc w:val="start"/>
        <w:bidi w:val="1"/>
      </w:pPr>
      <w:r>
        <w:rPr>
          <w:rFonts w:ascii="Arial" w:hAnsi="Arial" w:cs="Arial"/>
          <w:color w:val="000000"/>
          <w:lang w:val="ar-AE" w:bidi="ar-AE"/>
          <w:rtl w:val="1"/>
        </w:rPr>
        <w:t xml:space="preserve">ورابعًا، ليست كل ملخصات الانتقال فاقدة للمعلومات. في المدخلات الخام التي فُحصت، كانت الحالات الساعية الدقيقة كلها مختلفة؛ لذلك تحدد أزواج الانتقال الموسومة بدقة، مع الطرفين، الترتيب الكامل. الحفاظ على انتقالات حالة المولد لا يعني الحفاظ على انتقالات المدخلات الخارجية. الأمثلة النظرية لتصادم أعداد المقاطع الزمنية لها سوابق رياضية </w:t>
      </w:r>
      <w:r>
        <w:rPr>
          <w:rFonts w:ascii="Calibri" w:hAnsi="Calibri" w:cs="Calibri"/>
          <w:color w:val="000000"/>
          <w:lang w:val="en-US" w:bidi="ar-AE"/>
          <w:rtl w:val="0"/>
        </w:rPr>
        <w:t>⁦[9]⁩</w:t>
      </w:r>
      <w:r>
        <w:rPr>
          <w:rFonts w:ascii="Arial" w:hAnsi="Arial" w:cs="Arial"/>
          <w:color w:val="000000"/>
          <w:lang w:val="ar-AE" w:bidi="ar-AE"/>
          <w:rtl w:val="1"/>
        </w:rPr>
        <w:t>، ولا تبرر ادعاء جديدًا عامًا هنا.</w:t>
      </w:r>
    </w:p>
    <w:p>
      <w:pPr>
        <w:jc w:val="start"/>
        <w:bidi w:val="1"/>
      </w:pPr>
      <w:r>
        <w:rPr>
          <w:rFonts w:ascii="Arial" w:hAnsi="Arial" w:cs="Arial"/>
          <w:color w:val="000000"/>
          <w:lang w:val="ar-AE" w:bidi="ar-AE"/>
          <w:rtl w:val="1"/>
        </w:rPr>
        <w:t>وخامسًا، فشل خطة تشغيل مثبتة مسبقًا لا يثبت استحالة المسألة الكاملة: في إحدى حالات تبديل الأيام كان تثبيت التشغيل الأصلي مستحيلًا، بينما وُجد تشغيل آخر صالح. لذلك احتُفظ بنتائج تثبيت الخطة منفصلة عن نتائج البحث في جميع الخطط.</w:t>
      </w:r>
    </w:p>
    <w:p>
      <w:pPr>
        <w:jc w:val="start"/>
        <w:bidi w:val="1"/>
      </w:pPr>
      <w:r>
        <w:rPr>
          <w:rFonts w:ascii="Arial" w:hAnsi="Arial" w:cs="Arial"/>
          <w:color w:val="000000"/>
          <w:lang w:val="ar-AE" w:bidi="ar-AE"/>
          <w:rtl w:val="1"/>
        </w:rPr>
        <w:t xml:space="preserve">وسادسًا، لم تثبت ست معاملات شهادات ثابتة الاستحالة للحالتين الجديدتين. ثم أُعيد حل الاسترخاء المستمر للقواعد نفسها، فوجدنا أربع نقاط تحقق جميع قيود النماذج المختصرة الموسعة بدقة. هذه نتيجة أقوى: لا تستطيع أي معاملات لشهادة خطية، ضمن أي من هذين الاختيارين الثابتين للقيود، إثبات الاستحالة للحالتين. اختيار أول يحتفظ بقيود الزمن لوحدتين محددتين، واختيار ثان يحتفظ بقيود المدد التي تقع بكاملها داخل نافذة محددة طولها </w:t>
      </w:r>
      <w:r>
        <w:rPr>
          <w:rFonts w:ascii="Calibri" w:hAnsi="Calibri" w:cs="Calibri"/>
          <w:color w:val="000000"/>
          <w:lang w:val="en-US" w:bidi="ar-AE"/>
          <w:rtl w:val="0"/>
        </w:rPr>
        <w:t>⁦48⁩</w:t>
      </w:r>
      <w:r>
        <w:rPr>
          <w:rFonts w:ascii="Arial" w:hAnsi="Arial" w:cs="Arial"/>
          <w:color w:val="000000"/>
          <w:lang w:val="ar-AE" w:bidi="ar-AE"/>
          <w:rtl w:val="1"/>
        </w:rPr>
        <w:t xml:space="preserve"> ساعة؛ والاختيار الثاني يحتفظ أيضًا بجميع قيود الانتقال والحصرية، وكلاهما يحتاج إلى القيود العامة للشبكة والطاقة. النقاط ليست جداول تشغيل ثنائية، ولا تثبت إمكانية تشغيل المحطات أو استحالة شهادة مختلفة.</w:t>
      </w:r>
    </w:p>
    <w:p>
      <w:pPr>
        <w:pStyle w:val="Heading1"/>
        <w:jc w:val="start"/>
        <w:bidi w:val="1"/>
      </w:pPr>
      <w:r>
        <w:rPr>
          <w:rFonts w:ascii="Arial" w:hAnsi="Arial" w:cs="Arial"/>
          <w:color w:val="000000"/>
          <w:lang w:val="ar-AE" w:bidi="ar-AE"/>
          <w:rtl w:val="1"/>
        </w:rPr>
        <w:t>ما الإضافة القابلة للنشر؟</w:t>
      </w:r>
    </w:p>
    <w:p>
      <w:pPr>
        <w:jc w:val="start"/>
        <w:bidi w:val="1"/>
      </w:pPr>
      <w:r>
        <w:rPr>
          <w:rFonts w:ascii="Arial" w:hAnsi="Arial" w:cs="Arial"/>
          <w:color w:val="000000"/>
          <w:lang w:val="ar-AE" w:bidi="ar-AE"/>
          <w:rtl w:val="1"/>
        </w:rPr>
        <w:t>الادعاء الأدق هو وجود أزواج منشورة تتطابق في ملخص مدخلات محدد يشمل ساعة اليوم، لكنها تختلف في إمكان التشغيل تحت السقف نفسه. وأصبحت للحالات الست التي تثبت الساعة عبر الأسابيع الثلاثة حدود موجبة مؤكدة لزيادة الطاقة المثلى بعد إزالة السقف. ترافقها شهادات وبيانات وإعادة فحص قابلة للتكرار، مع ضوابط ونتائج غير محسومة محفوظة. هذه إضافة تجريبية أدق من اختلاف مخرجات المحاكي، لكنها لا تثبت وحدها ابتكار خوارزمية عامة جديدة.</w:t>
      </w:r>
    </w:p>
    <w:p>
      <w:pPr>
        <w:jc w:val="start"/>
        <w:bidi w:val="1"/>
      </w:pPr>
      <w:r>
        <w:rPr>
          <w:rFonts w:ascii="Arial" w:hAnsi="Arial" w:cs="Arial"/>
          <w:color w:val="000000"/>
          <w:lang w:val="ar-AE" w:bidi="ar-AE"/>
          <w:rtl w:val="1"/>
        </w:rPr>
        <w:t>لرفع العمل إلى مساهمة منهجية أوسع، نحتاج أن يحدد إجراءٌ جديد أي معلومات زمنية تُضاف إلى الملخص، وأن يُختبر على حالات لم تُستخدم في تصميمه، مع تكلفة المعلومات والحساب ومقارنة مباشرة بطرق قائمة. تقليل عدد صفوف شهادة واحدة لا يثبت أنه أصغر قدر من البيانات اللازمة. نتائج الأسبوعين الجديدين توسع الدليل التجريبي الآن، لكنها لا تعوّض وحدها هذه المساهمة المنهجية.</w:t>
      </w:r>
    </w:p>
    <w:p>
      <w:pPr>
        <w:pStyle w:val="Heading1"/>
        <w:jc w:val="start"/>
        <w:bidi w:val="1"/>
      </w:pPr>
      <w:r>
        <w:rPr>
          <w:rFonts w:ascii="Arial" w:hAnsi="Arial" w:cs="Arial"/>
          <w:color w:val="000000"/>
          <w:lang w:val="ar-AE" w:bidi="ar-AE"/>
          <w:rtl w:val="1"/>
        </w:rPr>
        <w:t>حفظ العمل وبيان توفر البيانات</w:t>
      </w:r>
    </w:p>
    <w:p>
      <w:pPr>
        <w:jc w:val="start"/>
        <w:bidi w:val="1"/>
      </w:pPr>
      <w:r>
        <w:rPr>
          <w:rFonts w:ascii="Arial" w:hAnsi="Arial" w:cs="Arial"/>
          <w:color w:val="000000"/>
          <w:lang w:val="ar-AE" w:bidi="ar-AE"/>
          <w:rtl w:val="1"/>
        </w:rPr>
        <w:t xml:space="preserve">مصدر بيانات </w:t>
      </w:r>
      <w:r>
        <w:rPr>
          <w:rFonts w:ascii="Calibri" w:hAnsi="Calibri" w:cs="Calibri"/>
          <w:color w:val="000000"/>
          <w:lang w:val="en-US" w:bidi="ar-AE"/>
          <w:rtl w:val="0"/>
        </w:rPr>
        <w:t>⁦RTS-GMLC⁩</w:t>
      </w:r>
      <w:r>
        <w:rPr>
          <w:rFonts w:ascii="Arial" w:hAnsi="Arial" w:cs="Arial"/>
          <w:color w:val="000000"/>
          <w:lang w:val="ar-AE" w:bidi="ar-AE"/>
          <w:rtl w:val="1"/>
        </w:rPr>
        <w:t xml:space="preserve"> هو وزارة الطاقة الأمريكية </w:t>
      </w:r>
      <w:r>
        <w:rPr>
          <w:rFonts w:ascii="Calibri" w:hAnsi="Calibri" w:cs="Calibri"/>
          <w:color w:val="000000"/>
          <w:lang w:val="en-US" w:bidi="ar-AE"/>
          <w:rtl w:val="0"/>
        </w:rPr>
        <w:t>⁦DOE⁩</w:t>
      </w:r>
      <w:r>
        <w:rPr>
          <w:rFonts w:ascii="Arial" w:hAnsi="Arial" w:cs="Arial"/>
          <w:color w:val="000000"/>
          <w:lang w:val="ar-AE" w:bidi="ar-AE"/>
          <w:rtl w:val="1"/>
        </w:rPr>
        <w:t xml:space="preserve"> والمختبر الوطني للطاقة المتجددة </w:t>
      </w:r>
      <w:r>
        <w:rPr>
          <w:rFonts w:ascii="Calibri" w:hAnsi="Calibri" w:cs="Calibri"/>
          <w:color w:val="000000"/>
          <w:lang w:val="en-US" w:bidi="ar-AE"/>
          <w:rtl w:val="0"/>
        </w:rPr>
        <w:t>⁦NREL⁩</w:t>
      </w:r>
      <w:r>
        <w:rPr>
          <w:rFonts w:ascii="Arial" w:hAnsi="Arial" w:cs="Arial"/>
          <w:color w:val="000000"/>
          <w:lang w:val="ar-AE" w:bidi="ar-AE"/>
          <w:rtl w:val="1"/>
        </w:rPr>
        <w:t xml:space="preserve"> وشركة </w:t>
      </w:r>
      <w:r>
        <w:rPr>
          <w:rFonts w:ascii="Calibri" w:hAnsi="Calibri" w:cs="Calibri"/>
          <w:color w:val="000000"/>
          <w:lang w:val="en-US" w:bidi="ar-AE"/>
          <w:rtl w:val="0"/>
        </w:rPr>
        <w:t>⁦ALLIANCE⁩</w:t>
      </w:r>
      <w:r>
        <w:rPr>
          <w:rFonts w:ascii="Arial" w:hAnsi="Arial" w:cs="Arial"/>
          <w:color w:val="000000"/>
          <w:lang w:val="ar-AE" w:bidi="ar-AE"/>
          <w:rtl w:val="1"/>
        </w:rPr>
        <w:t>. ترافق نسخ البيانات المعاد توزيعها شروط الاستخدام الأصلية ونسبتها إلى مصدرها؛ ولا يعني ذكر الجهات أنها تؤيد هذا البحث.</w:t>
      </w:r>
    </w:p>
    <w:p>
      <w:pPr>
        <w:jc w:val="start"/>
        <w:bidi w:val="1"/>
      </w:pPr>
      <w:r>
        <w:rPr>
          <w:rFonts w:ascii="Arial" w:hAnsi="Arial" w:cs="Arial"/>
          <w:color w:val="000000"/>
          <w:lang w:val="ar-AE" w:bidi="ar-AE"/>
          <w:rtl w:val="1"/>
        </w:rPr>
        <w:t xml:space="preserve">نُشرت الأدلة المكتملة التي تستند إليها هذه المسودة على فرع </w:t>
      </w:r>
      <w:r>
        <w:rPr>
          <w:rFonts w:ascii="Calibri" w:hAnsi="Calibri" w:cs="Calibri"/>
          <w:color w:val="000000"/>
          <w:lang w:val="en-US" w:bidi="ar-AE"/>
          <w:rtl w:val="0"/>
        </w:rPr>
        <w:t>⁦GitHub⁩</w:t>
      </w:r>
      <w:r>
        <w:rPr>
          <w:rFonts w:ascii="Arial" w:hAnsi="Arial" w:cs="Arial"/>
          <w:color w:val="000000"/>
          <w:lang w:val="ar-AE" w:bidi="ar-AE"/>
          <w:rtl w:val="1"/>
        </w:rPr>
        <w:t xml:space="preserve"> التجريبي </w:t>
      </w:r>
      <w:r>
        <w:rPr>
          <w:rFonts w:ascii="Calibri" w:hAnsi="Calibri" w:cs="Calibri"/>
          <w:color w:val="000000"/>
          <w:lang w:val="en-US" w:bidi="ar-AE"/>
          <w:rtl w:val="0"/>
        </w:rPr>
        <w:t>⁦codex/temporal-information⁩</w:t>
      </w:r>
      <w:r>
        <w:rPr>
          <w:rFonts w:ascii="Arial" w:hAnsi="Arial" w:cs="Arial"/>
          <w:color w:val="000000"/>
          <w:lang w:val="ar-AE" w:bidi="ar-AE"/>
          <w:rtl w:val="1"/>
        </w:rPr>
        <w:t xml:space="preserve">، في الالتزام </w:t>
      </w:r>
      <w:r>
        <w:rPr>
          <w:rFonts w:ascii="Calibri" w:hAnsi="Calibri" w:cs="Calibri"/>
          <w:color w:val="000000"/>
          <w:lang w:val="en-US" w:bidi="ar-AE"/>
          <w:rtl w:val="0"/>
        </w:rPr>
        <w:t>⁦8abc5f3df438fe3a54e35aa06c892978adcd0537⁩</w:t>
      </w:r>
      <w:r>
        <w:rPr>
          <w:rFonts w:ascii="Arial" w:hAnsi="Arial" w:cs="Arial"/>
          <w:color w:val="000000"/>
          <w:lang w:val="ar-AE" w:bidi="ar-AE"/>
          <w:rtl w:val="1"/>
        </w:rPr>
        <w:t xml:space="preserve">، وجرى التحقق منه بقراءة مستقلة بعد النشر. يضم مجلد </w:t>
      </w:r>
      <w:r>
        <w:rPr>
          <w:rFonts w:ascii="Calibri" w:hAnsi="Calibri" w:cs="Calibri"/>
          <w:color w:val="000000"/>
          <w:lang w:val="en-US" w:bidi="ar-AE"/>
          <w:rtl w:val="0"/>
        </w:rPr>
        <w:t>⁦Google Drive⁩</w:t>
      </w:r>
      <w:r>
        <w:rPr>
          <w:rFonts w:ascii="Arial" w:hAnsi="Arial" w:cs="Arial"/>
          <w:color w:val="000000"/>
          <w:lang w:val="ar-AE" w:bidi="ar-AE"/>
          <w:rtl w:val="1"/>
        </w:rPr>
        <w:t xml:space="preserve"> الخاص بالبحث حزم التسليم وأدلة التحقق. لكل حزمة قائمة بصمات للملفات؛ ويجري التحقق من الأسماء والأحجام والمجلد وإعداد المشاركة بعد الرفع. بصمة المحتوى البعيد لا توفرها خدمة القراءة، فلا أدعي التحقق منها.</w:t>
      </w:r>
    </w:p>
    <w:p>
      <w:pPr>
        <w:jc w:val="start"/>
        <w:bidi w:val="1"/>
      </w:pPr>
      <w:r>
        <w:rPr>
          <w:rFonts w:ascii="Arial" w:hAnsi="Arial" w:cs="Arial"/>
          <w:color w:val="000000"/>
          <w:lang w:val="ar-AE" w:bidi="ar-AE"/>
          <w:rtl w:val="1"/>
        </w:rPr>
        <w:t xml:space="preserve">سجل </w:t>
      </w:r>
      <w:r>
        <w:rPr>
          <w:rFonts w:ascii="Calibri" w:hAnsi="Calibri" w:cs="Calibri"/>
          <w:color w:val="000000"/>
          <w:lang w:val="en-US" w:bidi="ar-AE"/>
          <w:rtl w:val="0"/>
        </w:rPr>
        <w:t>⁦Zenodo⁩</w:t>
      </w:r>
      <w:r>
        <w:rPr>
          <w:rFonts w:ascii="Arial" w:hAnsi="Arial" w:cs="Arial"/>
          <w:color w:val="000000"/>
          <w:lang w:val="ar-AE" w:bidi="ar-AE"/>
          <w:rtl w:val="1"/>
        </w:rPr>
        <w:t xml:space="preserve"> القائم ذو المعرف </w:t>
      </w:r>
      <w:r>
        <w:rPr>
          <w:rFonts w:ascii="Calibri" w:hAnsi="Calibri" w:cs="Calibri"/>
          <w:color w:val="000000"/>
          <w:lang w:val="en-US" w:bidi="ar-AE"/>
          <w:rtl w:val="0"/>
        </w:rPr>
        <w:t>⁦10.5281/zenodo.22976152⁩</w:t>
      </w:r>
      <w:r>
        <w:rPr>
          <w:rFonts w:ascii="Arial" w:hAnsi="Arial" w:cs="Arial"/>
          <w:color w:val="000000"/>
          <w:lang w:val="ar-AE" w:bidi="ar-AE"/>
          <w:rtl w:val="1"/>
        </w:rPr>
        <w:t xml:space="preserve"> يحفظ إصدار </w:t>
      </w:r>
      <w:r>
        <w:rPr>
          <w:rFonts w:ascii="Calibri" w:hAnsi="Calibri" w:cs="Calibri"/>
          <w:color w:val="000000"/>
          <w:lang w:val="en-US" w:bidi="ar-AE"/>
          <w:rtl w:val="0"/>
        </w:rPr>
        <w:t>⁦V8⁩</w:t>
      </w:r>
      <w:r>
        <w:rPr>
          <w:rFonts w:ascii="Arial" w:hAnsi="Arial" w:cs="Arial"/>
          <w:color w:val="000000"/>
          <w:lang w:val="ar-AE" w:bidi="ar-AE"/>
          <w:rtl w:val="1"/>
        </w:rPr>
        <w:t xml:space="preserve"> المجمد. لا يحفظ جميع نتائج هذه الجلسة الجديدة. لم أستبدل مخطوطتي </w:t>
      </w:r>
      <w:r>
        <w:rPr>
          <w:rFonts w:ascii="Calibri" w:hAnsi="Calibri" w:cs="Calibri"/>
          <w:color w:val="000000"/>
          <w:lang w:val="en-US" w:bidi="ar-AE"/>
          <w:rtl w:val="0"/>
        </w:rPr>
        <w:t>⁦V8⁩</w:t>
      </w:r>
      <w:r>
        <w:rPr>
          <w:rFonts w:ascii="Arial" w:hAnsi="Arial" w:cs="Arial"/>
          <w:color w:val="000000"/>
          <w:lang w:val="ar-AE" w:bidi="ar-AE"/>
          <w:rtl w:val="1"/>
        </w:rPr>
        <w:t xml:space="preserve"> و</w:t>
      </w:r>
      <w:r>
        <w:rPr>
          <w:rFonts w:ascii="Calibri" w:hAnsi="Calibri" w:cs="Calibri"/>
          <w:color w:val="000000"/>
          <w:lang w:val="en-US" w:bidi="ar-AE"/>
          <w:rtl w:val="0"/>
        </w:rPr>
        <w:t>⁦V8R1⁩</w:t>
      </w:r>
      <w:r>
        <w:rPr>
          <w:rFonts w:ascii="Arial" w:hAnsi="Arial" w:cs="Arial"/>
          <w:color w:val="000000"/>
          <w:lang w:val="ar-AE" w:bidi="ar-AE"/>
          <w:rtl w:val="1"/>
        </w:rPr>
        <w:t xml:space="preserve"> أو الإصدارات المنشورة، ولم أرفع نصوص المقالات المدفوعة إلى المستودع العام. يجب أن يوضح بيان توفر البيانات في المخطوطة النهائية هذا الفصل بين الإصدار المجمد والعمل التجريبي.</w:t>
      </w:r>
    </w:p>
    <w:p>
      <w:pPr>
        <w:jc w:val="start"/>
        <w:bidi w:val="1"/>
      </w:pPr>
      <w:hyperlink r:id="rId12">
        <w:r>
          <w:rPr>
            <w:color w:val="163D64"/>
            <w:u w:val="single"/>
            <w:rFonts w:ascii="Arial" w:hAnsi="Arial" w:cs="Arial"/>
            <w:rtl w:val="1"/>
          </w:rPr>
          <w:t>فرع GitHub التجريبي</w:t>
        </w:r>
      </w:hyperlink>
    </w:p>
    <w:p>
      <w:pPr>
        <w:jc w:val="start"/>
        <w:bidi w:val="1"/>
      </w:pPr>
      <w:hyperlink r:id="rId13">
        <w:r>
          <w:rPr>
            <w:color w:val="163D64"/>
            <w:u w:val="single"/>
            <w:rFonts w:ascii="Arial" w:hAnsi="Arial" w:cs="Arial"/>
            <w:rtl w:val="1"/>
          </w:rPr>
          <w:t>مجلد النتائج والعمل القابل لإعادة الفحص على Google Drive</w:t>
        </w:r>
      </w:hyperlink>
    </w:p>
    <w:p>
      <w:pPr>
        <w:pStyle w:val="Heading1"/>
        <w:jc w:val="start"/>
        <w:bidi w:val="1"/>
      </w:pPr>
      <w:r>
        <w:rPr>
          <w:rFonts w:ascii="Arial" w:hAnsi="Arial" w:cs="Arial"/>
          <w:color w:val="000000"/>
          <w:lang w:val="ar-AE" w:bidi="ar-AE"/>
          <w:rtl w:val="1"/>
        </w:rPr>
        <w:t>المراجع الأساسية</w:t>
      </w:r>
    </w:p>
    <w:p>
      <w:pPr>
        <w:spacing w:after="160"/>
        <w:jc w:val="start"/>
        <w:bidi w:val="0"/>
      </w:pPr>
      <w:r>
        <w:rPr>
          <w:rFonts w:ascii="Calibri" w:hAnsi="Calibri" w:cs="Calibri"/>
          <w:color w:val="000000"/>
          <w:sz w:val="21"/>
          <w:lang w:val="en-US" w:bidi="ar-AE"/>
          <w:rtl w:val="0"/>
        </w:rPr>
        <w:t xml:space="preserve">[1] B. Bahl, T. Söhler, M. Hennen and A. Bardow. Typical Periods for Two-Stage Synthesis by Time-Series Aggregation with Bounded Error in Objective Function. Frontiers in Energy Research 5, article 35, 2018. </w:t>
      </w:r>
      <w:hyperlink r:id="rId14">
        <w:r>
          <w:rPr>
            <w:color w:val="163D64"/>
            <w:u w:val="single"/>
            <w:rFonts w:ascii="Calibri" w:hAnsi="Calibri" w:cs="Arial"/>
            <w:rtl w:val="0"/>
          </w:rPr>
          <w:t>doi.org/10.3389/fenrg.2017.00035</w:t>
        </w:r>
      </w:hyperlink>
    </w:p>
    <w:p>
      <w:pPr>
        <w:spacing w:after="160"/>
        <w:jc w:val="start"/>
        <w:bidi w:val="0"/>
      </w:pPr>
      <w:r>
        <w:rPr>
          <w:rFonts w:ascii="Calibri" w:hAnsi="Calibri" w:cs="Calibri"/>
          <w:color w:val="000000"/>
          <w:sz w:val="21"/>
          <w:lang w:val="en-US" w:bidi="ar-AE"/>
          <w:rtl w:val="0"/>
        </w:rPr>
        <w:t xml:space="preserve">[2] N. Baumgärtner, B. Bahl, M. Hennen and A. Bardow. RiSES3: Rigorous Synthesis of Energy Supply and Storage Systems via time-series relaxation and aggregation. Computers and Chemical Engineering 127, 127–139, 2019. </w:t>
      </w:r>
      <w:hyperlink r:id="rId15">
        <w:r>
          <w:rPr>
            <w:color w:val="163D64"/>
            <w:u w:val="single"/>
            <w:rFonts w:ascii="Calibri" w:hAnsi="Calibri" w:cs="Arial"/>
            <w:rtl w:val="0"/>
          </w:rPr>
          <w:t>doi.org/10.1016/j.compchemeng.2019.02.006</w:t>
        </w:r>
      </w:hyperlink>
    </w:p>
    <w:p>
      <w:pPr>
        <w:spacing w:after="160"/>
        <w:jc w:val="start"/>
        <w:bidi w:val="0"/>
      </w:pPr>
      <w:r>
        <w:rPr>
          <w:rFonts w:ascii="Calibri" w:hAnsi="Calibri" w:cs="Calibri"/>
          <w:color w:val="000000"/>
          <w:sz w:val="21"/>
          <w:lang w:val="en-US" w:bidi="ar-AE"/>
          <w:rtl w:val="0"/>
        </w:rPr>
        <w:t xml:space="preserve">[3] F. C. A. Auer, R. Gaugl, T. Klatzer, D. A. Tejada-Arango and S. Wogrin. Connecting Representative Periods in Energy System Optimization Models using Markov Transition Matrices. arXiv:2510.18555v2, revised 15 July 2026. Preprint. </w:t>
      </w:r>
      <w:hyperlink r:id="rId16">
        <w:r>
          <w:rPr>
            <w:color w:val="163D64"/>
            <w:u w:val="single"/>
            <w:rFonts w:ascii="Calibri" w:hAnsi="Calibri" w:cs="Arial"/>
            <w:rtl w:val="0"/>
          </w:rPr>
          <w:t>arxiv.org/abs/2510.18555v2</w:t>
        </w:r>
      </w:hyperlink>
    </w:p>
    <w:p>
      <w:pPr>
        <w:spacing w:after="160"/>
        <w:jc w:val="start"/>
        <w:bidi w:val="0"/>
      </w:pPr>
      <w:r>
        <w:rPr>
          <w:rFonts w:ascii="Calibri" w:hAnsi="Calibri" w:cs="Calibri"/>
          <w:color w:val="000000"/>
          <w:sz w:val="21"/>
          <w:lang w:val="en-US" w:bidi="ar-AE"/>
          <w:rtl w:val="0"/>
        </w:rPr>
        <w:t xml:space="preserve">[4] J. H. Merrick, J. E. T. Bistline and G. J. Blanford. On representation of energy storage in electricity planning models. arXiv:2105.03707v2, 31 May 2021. Author preprint. </w:t>
      </w:r>
      <w:hyperlink r:id="rId17">
        <w:r>
          <w:rPr>
            <w:color w:val="163D64"/>
            <w:u w:val="single"/>
            <w:rFonts w:ascii="Calibri" w:hAnsi="Calibri" w:cs="Arial"/>
            <w:rtl w:val="0"/>
          </w:rPr>
          <w:t>arxiv.org/abs/2105.03707v2</w:t>
        </w:r>
      </w:hyperlink>
    </w:p>
    <w:p>
      <w:pPr>
        <w:spacing w:after="160"/>
        <w:jc w:val="start"/>
        <w:bidi w:val="0"/>
      </w:pPr>
      <w:r>
        <w:rPr>
          <w:rFonts w:ascii="Calibri" w:hAnsi="Calibri" w:cs="Calibri"/>
          <w:color w:val="000000"/>
          <w:sz w:val="21"/>
          <w:lang w:val="en-US" w:bidi="ar-AE"/>
          <w:rtl w:val="0"/>
        </w:rPr>
        <w:t xml:space="preserve">[5] S. Gonzato, K. Bruninx and E. Delarue. Long term storage in generation expansion planning models with a reduced temporal scope. Applied Energy 298, 117168, 2021. </w:t>
      </w:r>
      <w:hyperlink r:id="rId18">
        <w:r>
          <w:rPr>
            <w:color w:val="163D64"/>
            <w:u w:val="single"/>
            <w:rFonts w:ascii="Calibri" w:hAnsi="Calibri" w:cs="Arial"/>
            <w:rtl w:val="0"/>
          </w:rPr>
          <w:t>doi.org/10.1016/j.apenergy.2021.117168</w:t>
        </w:r>
      </w:hyperlink>
    </w:p>
    <w:p>
      <w:pPr>
        <w:spacing w:after="160"/>
        <w:jc w:val="start"/>
        <w:bidi w:val="0"/>
      </w:pPr>
      <w:r>
        <w:rPr>
          <w:rFonts w:ascii="Calibri" w:hAnsi="Calibri" w:cs="Calibri"/>
          <w:color w:val="000000"/>
          <w:sz w:val="21"/>
          <w:lang w:val="en-US" w:bidi="ar-AE"/>
          <w:rtl w:val="0"/>
        </w:rPr>
        <w:t xml:space="preserve">[6] C. Barrows et al. The IEEE Reliability Test System: A Proposed 2019 Update. IEEE Transactions on Power Systems 35(1), 119–127, 2020. </w:t>
      </w:r>
      <w:hyperlink r:id="rId19">
        <w:r>
          <w:rPr>
            <w:color w:val="163D64"/>
            <w:u w:val="single"/>
            <w:rFonts w:ascii="Calibri" w:hAnsi="Calibri" w:cs="Arial"/>
            <w:rtl w:val="0"/>
          </w:rPr>
          <w:t>doi.org/10.1109/TPWRS.2019.2925557</w:t>
        </w:r>
      </w:hyperlink>
    </w:p>
    <w:p>
      <w:pPr>
        <w:spacing w:after="160"/>
        <w:jc w:val="start"/>
        <w:bidi w:val="0"/>
      </w:pPr>
      <w:r>
        <w:rPr>
          <w:rFonts w:ascii="Calibri" w:hAnsi="Calibri" w:cs="Calibri"/>
          <w:color w:val="000000"/>
          <w:sz w:val="21"/>
          <w:lang w:val="en-US" w:bidi="ar-AE"/>
          <w:rtl w:val="0"/>
        </w:rPr>
        <w:t xml:space="preserve">[7] A. Neumaier and O. Shcherbina. Safe bounds in linear and mixed-integer linear programming. Mathematical Programming 99, 283–296, 2004. </w:t>
      </w:r>
      <w:hyperlink r:id="rId20">
        <w:r>
          <w:rPr>
            <w:color w:val="163D64"/>
            <w:u w:val="single"/>
            <w:rFonts w:ascii="Calibri" w:hAnsi="Calibri" w:cs="Arial"/>
            <w:rtl w:val="0"/>
          </w:rPr>
          <w:t>doi.org/10.1007/s10107-003-0433-3</w:t>
        </w:r>
      </w:hyperlink>
    </w:p>
    <w:p>
      <w:pPr>
        <w:spacing w:after="160"/>
        <w:jc w:val="start"/>
        <w:bidi w:val="0"/>
      </w:pPr>
      <w:r>
        <w:rPr>
          <w:rFonts w:ascii="Calibri" w:hAnsi="Calibri" w:cs="Calibri"/>
          <w:color w:val="000000"/>
          <w:sz w:val="21"/>
          <w:lang w:val="en-US" w:bidi="ar-AE"/>
          <w:rtl w:val="0"/>
        </w:rPr>
        <w:t xml:space="preserve">[8] K. K. H. Cheung, A. Gleixner and D. E. Steffy. Verifying Integer Programming Results. IPCO 2017, LNCS 10328, 148–160. </w:t>
      </w:r>
      <w:hyperlink r:id="rId21">
        <w:r>
          <w:rPr>
            <w:color w:val="163D64"/>
            <w:u w:val="single"/>
            <w:rFonts w:ascii="Calibri" w:hAnsi="Calibri" w:cs="Arial"/>
            <w:rtl w:val="0"/>
          </w:rPr>
          <w:t>doi.org/10.1007/978-3-319-59250-3_13</w:t>
        </w:r>
      </w:hyperlink>
    </w:p>
    <w:p>
      <w:pPr>
        <w:spacing w:after="160"/>
        <w:jc w:val="start"/>
        <w:bidi w:val="0"/>
      </w:pPr>
      <w:r>
        <w:rPr>
          <w:rFonts w:ascii="Calibri" w:hAnsi="Calibri" w:cs="Calibri"/>
          <w:color w:val="000000"/>
          <w:sz w:val="21"/>
          <w:lang w:val="en-US" w:bidi="ar-AE"/>
          <w:rtl w:val="0"/>
        </w:rPr>
        <w:t xml:space="preserve">[9] A. Saarela. Separating the Words of a Language by Counting Factors. Fundamenta Informaticae 180(4), 375–393, 2021. </w:t>
      </w:r>
      <w:hyperlink r:id="rId22">
        <w:r>
          <w:rPr>
            <w:color w:val="163D64"/>
            <w:u w:val="single"/>
            <w:rFonts w:ascii="Calibri" w:hAnsi="Calibri" w:cs="Arial"/>
            <w:rtl w:val="0"/>
          </w:rPr>
          <w:t>doi.org/10.3233/FI-2021-2047</w:t>
        </w:r>
      </w:hyperlink>
    </w:p>
    <w:sectPr w:rsidR="00FC693F" w:rsidRPr="0006063C" w:rsidSect="00034616">
      <w:headerReference w:type="default" r:id="rId9"/>
      <w:footerReference w:type="default" r:id="rId10"/>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start"/>
      <w:bidi w:val="1"/>
    </w:pPr>
    <w:r>
      <w:rPr>
        <w:rFonts w:ascii="Arial" w:hAnsi="Arial" w:cs="Arial"/>
        <w:color w:val="000000"/>
        <w:sz w:val="18"/>
        <w:lang w:val="ar-AE" w:bidi="ar-AE"/>
        <w:rtl w:val="1"/>
        <w:szCs w:val="18"/>
      </w:rPr>
      <w:t>مراجعة علمية — مسودة بحث</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40"/>
    </w:pPr>
    <w:rPr>
      <w:rFonts w:ascii="Arial" w:hAnsi="Arial"/>
      <w:color w:val="000000"/>
      <w:sz w:val="24"/>
      <w:szCs w:val="24"/>
      <w:b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71" w:lineRule="auto"/>
      <w:outlineLvl w:val="0"/>
    </w:pPr>
    <w:rPr>
      <w:rFonts w:asciiTheme="majorHAnsi" w:eastAsiaTheme="majorEastAsia" w:hAnsiTheme="majorHAnsi" w:cstheme="majorBidi" w:ascii="Arial" w:hAnsi="Arial"/>
      <w:b/>
      <w:bCs/>
      <w:color w:val="000000"/>
      <w:sz w:val="28"/>
      <w:szCs w:val="28"/>
      <w:szCs w:val="28"/>
      <w:bCs w:val="1"/>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71" w:lineRule="auto"/>
      <w:contextualSpacing/>
    </w:pPr>
    <w:rPr>
      <w:rFonts w:asciiTheme="majorHAnsi" w:eastAsiaTheme="majorEastAsia" w:hAnsiTheme="majorHAnsi" w:cstheme="majorBidi" w:ascii="Arial" w:hAnsi="Arial"/>
      <w:color w:val="000000"/>
      <w:spacing w:val="5"/>
      <w:kern w:val="28"/>
      <w:sz w:val="42"/>
      <w:szCs w:val="52"/>
      <w:szCs w:val="42"/>
      <w:b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line="271" w:lineRule="auto" w:after="140"/>
    </w:pPr>
    <w:rPr>
      <w:rFonts w:asciiTheme="majorHAnsi" w:eastAsiaTheme="majorEastAsia" w:hAnsiTheme="majorHAnsi" w:cstheme="majorBidi" w:ascii="Arial" w:hAnsi="Arial"/>
      <w:i/>
      <w:iCs/>
      <w:color w:val="000000"/>
      <w:spacing w:val="15"/>
      <w:sz w:val="24"/>
      <w:szCs w:val="24"/>
      <w:szCs w:val="24"/>
      <w:b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1" w:lineRule="auto" w:after="140"/>
    </w:pPr>
    <w:rPr>
      <w:rFonts w:ascii="Arial" w:hAnsi="Arial"/>
      <w:b w:val="0"/>
      <w:bCs/>
      <w:color w:val="000000"/>
      <w:sz w:val="21"/>
      <w:szCs w:val="18"/>
      <w:szCs w:val="21"/>
      <w:bCs w:val="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shaikhamalkawi-ux/Decision-Stability-Certificates-for-Power-System-Operating-States-/tree/codex/temporal-information" TargetMode="External"/><Relationship Id="rId13" Type="http://schemas.openxmlformats.org/officeDocument/2006/relationships/hyperlink" Target="https://drive.google.com/drive/folders/1cwdmcpJCPQC5sTdopQtQWi4sJpFdAChw" TargetMode="External"/><Relationship Id="rId14" Type="http://schemas.openxmlformats.org/officeDocument/2006/relationships/hyperlink" Target="https://doi.org/10.3389/fenrg.2017.00035" TargetMode="External"/><Relationship Id="rId15" Type="http://schemas.openxmlformats.org/officeDocument/2006/relationships/hyperlink" Target="https://doi.org/10.1016/j.compchemeng.2019.02.006" TargetMode="External"/><Relationship Id="rId16" Type="http://schemas.openxmlformats.org/officeDocument/2006/relationships/hyperlink" Target="https://arxiv.org/abs/2510.18555v2" TargetMode="External"/><Relationship Id="rId17" Type="http://schemas.openxmlformats.org/officeDocument/2006/relationships/hyperlink" Target="https://arxiv.org/abs/2105.03707v2" TargetMode="External"/><Relationship Id="rId18" Type="http://schemas.openxmlformats.org/officeDocument/2006/relationships/hyperlink" Target="https://doi.org/10.1016/j.apenergy.2021.117168" TargetMode="External"/><Relationship Id="rId19" Type="http://schemas.openxmlformats.org/officeDocument/2006/relationships/hyperlink" Target="https://doi.org/10.1109/TPWRS.2019.2925557" TargetMode="External"/><Relationship Id="rId20" Type="http://schemas.openxmlformats.org/officeDocument/2006/relationships/hyperlink" Target="https://doi.org/10.1007/s10107-003-0433-3" TargetMode="External"/><Relationship Id="rId21" Type="http://schemas.openxmlformats.org/officeDocument/2006/relationships/hyperlink" Target="https://doi.org/10.1007/978-3-319-59250-3_13" TargetMode="External"/><Relationship Id="rId22" Type="http://schemas.openxmlformats.org/officeDocument/2006/relationships/hyperlink" Target="https://doi.org/10.3233/FI-2021-20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قرار علمي بشأن تقوية البحث</dc:title>
  <dc:subject>تقرير علمي للمؤلفين · النسخة الثانية</dc:subject>
  <dc:creator>إعداد لمراجعة غسان ملكاوي وأحمد عبدالعزيز السيد</dc:creator>
  <cp:keywords/>
  <dc:description>مسودة ثانية: تشمل متابعة الطاقة للأسابيع الجديدة وحدود قاعدتي التفسير بعد المراجعة المستقلة في 27 سبتمبر 2026. فحص الترميز العددي الاسمي ما زال مستقلًا وجاريًا، ولا تتضمن هذه النسخة نتيجته.</dc:description>
  <cp:lastModifiedBy/>
  <cp:revision>1</cp:revision>
  <dcterms:created xsi:type="dcterms:W3CDTF">2013-12-23T23:15:00Z</dcterms:created>
  <dcterms:modified xsi:type="dcterms:W3CDTF">2013-12-23T23:15:00Z</dcterms:modified>
  <cp:category/>
</cp:coreProperties>
</file>