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Fonts w:ascii="Arial" w:hAnsi="Arial" w:cs="Arial"/>
          <w:color w:val="000000"/>
          <w:lang w:val="ar-AE" w:bidi="ar-AE"/>
          <w:rtl w:val="1"/>
        </w:rPr>
        <w:t>قرار علمي بشأن تقوية البحث</w:t>
      </w:r>
    </w:p>
    <w:p>
      <w:pPr>
        <w:pStyle w:val="Subtitle"/>
        <w:jc w:val="start"/>
        <w:bidi w:val="1"/>
      </w:pPr>
      <w:r>
        <w:rPr>
          <w:rFonts w:ascii="Arial" w:hAnsi="Arial" w:cs="Arial"/>
          <w:color w:val="000000"/>
          <w:lang w:val="ar-AE" w:bidi="ar-AE"/>
          <w:rtl w:val="1"/>
        </w:rPr>
        <w:t>نتائج موثقة وحدود الاستنتاج وخطوة النشر التالية</w:t>
      </w:r>
    </w:p>
    <w:p>
      <w:pPr>
        <w:jc w:val="start"/>
        <w:bidi w:val="1"/>
      </w:pPr>
      <w:r>
        <w:rPr>
          <w:rFonts w:ascii="Arial" w:hAnsi="Arial" w:cs="Arial"/>
          <w:color w:val="000000"/>
          <w:lang w:val="ar-AE" w:bidi="ar-AE"/>
          <w:rtl w:val="1"/>
        </w:rPr>
        <w:t>إعداد لمراجعة غسان ملكاوي وأحمد عبدالعزيز السيد</w:t>
      </w:r>
    </w:p>
    <w:p>
      <w:pPr>
        <w:jc w:val="start"/>
        <w:bidi w:val="1"/>
      </w:pPr>
      <w:r>
        <w:rPr>
          <w:rFonts w:ascii="Arial" w:hAnsi="Arial" w:cs="Arial"/>
          <w:color w:val="000000"/>
          <w:lang w:val="ar-AE" w:bidi="ar-AE"/>
          <w:rtl w:val="1"/>
        </w:rPr>
        <w:t xml:space="preserve">مسودة مرحلية: تستند إلى النتائج التي اكتملت مراجعتها المستقلة حتى </w:t>
      </w:r>
      <w:r>
        <w:rPr>
          <w:rFonts w:ascii="Calibri" w:hAnsi="Calibri" w:cs="Calibri"/>
          <w:color w:val="000000"/>
          <w:lang w:val="en-US" w:bidi="ar-AE"/>
          <w:rtl w:val="0"/>
        </w:rPr>
        <w:t>⁦27⁩</w:t>
      </w:r>
      <w:r>
        <w:rPr>
          <w:rFonts w:ascii="Arial" w:hAnsi="Arial" w:cs="Arial"/>
          <w:color w:val="000000"/>
          <w:lang w:val="ar-AE" w:bidi="ar-AE"/>
          <w:rtl w:val="1"/>
        </w:rPr>
        <w:t xml:space="preserve"> سبتمبر </w:t>
      </w:r>
      <w:r>
        <w:rPr>
          <w:rFonts w:ascii="Calibri" w:hAnsi="Calibri" w:cs="Calibri"/>
          <w:color w:val="000000"/>
          <w:lang w:val="en-US" w:bidi="ar-AE"/>
          <w:rtl w:val="0"/>
        </w:rPr>
        <w:t>⁦2026⁩</w:t>
      </w:r>
      <w:r>
        <w:rPr>
          <w:rFonts w:ascii="Arial" w:hAnsi="Arial" w:cs="Arial"/>
          <w:color w:val="000000"/>
          <w:lang w:val="ar-AE" w:bidi="ar-AE"/>
          <w:rtl w:val="1"/>
        </w:rPr>
        <w:t xml:space="preserve">، الساعة </w:t>
      </w:r>
      <w:r>
        <w:rPr>
          <w:rFonts w:ascii="Calibri" w:hAnsi="Calibri" w:cs="Calibri"/>
          <w:color w:val="000000"/>
          <w:lang w:val="en-US" w:bidi="ar-AE"/>
          <w:rtl w:val="0"/>
        </w:rPr>
        <w:t>⁦00:43⁩</w:t>
      </w:r>
      <w:r>
        <w:rPr>
          <w:rFonts w:ascii="Arial" w:hAnsi="Arial" w:cs="Arial"/>
          <w:color w:val="000000"/>
          <w:lang w:val="ar-AE" w:bidi="ar-AE"/>
          <w:rtl w:val="1"/>
        </w:rPr>
        <w:t xml:space="preserve"> بالتوقيت العالمي. تشمل المقارنات المكتملة لأسبوعين جديدين؛ متابعة حدود الطاقة لهما لم تدخل هذه النسخة.</w:t>
      </w:r>
    </w:p>
    <w:p>
      <w:pPr>
        <w:pStyle w:val="Heading1"/>
        <w:jc w:val="start"/>
        <w:bidi w:val="1"/>
      </w:pPr>
      <w:r>
        <w:rPr>
          <w:rFonts w:ascii="Arial" w:hAnsi="Arial" w:cs="Arial"/>
          <w:color w:val="000000"/>
          <w:lang w:val="ar-AE" w:bidi="ar-AE"/>
          <w:rtl w:val="1"/>
        </w:rPr>
        <w:t>الحكم الحالي</w:t>
      </w:r>
    </w:p>
    <w:p>
      <w:pPr>
        <w:jc w:val="start"/>
        <w:bidi w:val="1"/>
      </w:pPr>
      <w:r>
        <w:rPr>
          <w:rFonts w:ascii="Arial" w:hAnsi="Arial" w:cs="Arial"/>
          <w:color w:val="000000"/>
          <w:lang w:val="ar-AE" w:bidi="ar-AE"/>
          <w:rtl w:val="1"/>
        </w:rPr>
        <w:t>أصبح للبحث دليل أقوى وقابل للفحص على سؤال محدد: هل تكفي معرفة جميع الحالات التي تمر بها منظومة الكهرباء، وعدد مرات حدوثها في كل ساعة من اليوم، للحكم بأن تشغيلها ممكن؟ في النموذج المختبر، الجواب لا. يمكن إبقاء هذه المعلومات نفسها، وتغيير ترتيب الحالات داخل الأيام، فتوجد خطة تشغيل للترتيب الأول ويستحيل أي تشغيل للترتيب الثاني تحت سقف الطاقة الأحفورية نفسه. هذا استنتاج مثبت لأمثلة محددة، وليس إثباتًا بأن كل طرق اختصار الزمن تفشل.</w:t>
      </w:r>
    </w:p>
    <w:p>
      <w:pPr>
        <w:jc w:val="start"/>
        <w:bidi w:val="1"/>
      </w:pPr>
      <w:r>
        <w:rPr>
          <w:rFonts w:ascii="Arial" w:hAnsi="Arial" w:cs="Arial"/>
          <w:color w:val="000000"/>
          <w:lang w:val="ar-AE" w:bidi="ar-AE"/>
          <w:rtl w:val="1"/>
        </w:rPr>
        <w:t xml:space="preserve">لا أصف النسخة الجديدة حتى هذه المرحلة بأنها جاهزة للإرسال إلى مجلة. المساهمة التي تسندها الأدلة هي مقارنة مضبوطة مع شهادات حسابية قابلة للفحص. أما أسبقية الفكرة العامة، أو تفوق خوارزمية جديدة، أو التعميم على شبكة مستقلة، فلم تثبت. الأدبيات السابقة تتناول بالفعل تجميع الزمن، والحدود العليا والدنيا، وربط الفترات بمعلومات الانتقال </w:t>
      </w:r>
      <w:r>
        <w:rPr>
          <w:rFonts w:ascii="Calibri" w:hAnsi="Calibri" w:cs="Calibri"/>
          <w:color w:val="000000"/>
          <w:lang w:val="en-US" w:bidi="ar-AE"/>
          <w:rtl w:val="0"/>
        </w:rPr>
        <w:t>⁦[1–3]⁩</w:t>
      </w:r>
      <w:r>
        <w:rPr>
          <w:rFonts w:ascii="Calibri" w:hAnsi="Calibri" w:cs="Calibri"/>
          <w:color w:val="000000"/>
          <w:lang w:val="en-US" w:bidi="ar-AE"/>
          <w:rtl w:val="0"/>
        </w:rPr>
        <w:t>.</w:t>
      </w:r>
    </w:p>
    <w:p>
      <w:pPr>
        <w:jc w:val="start"/>
        <w:bidi w:val="1"/>
      </w:pPr>
      <w:r>
        <w:rPr>
          <w:rFonts w:ascii="Arial" w:hAnsi="Arial" w:cs="Arial"/>
          <w:color w:val="000000"/>
          <w:lang w:val="ar-AE" w:bidi="ar-AE"/>
          <w:rtl w:val="1"/>
        </w:rPr>
        <w:t xml:space="preserve">توجد أيضًا شروط منشورة تضمن عدم فقدان المعلومات الزمنية في بعض النماذج، وأعمال تفصل أثر ترتيب الفترات عن أثر اختصار النموذج </w:t>
      </w:r>
      <w:r>
        <w:rPr>
          <w:rFonts w:ascii="Calibri" w:hAnsi="Calibri" w:cs="Calibri"/>
          <w:color w:val="000000"/>
          <w:lang w:val="en-US" w:bidi="ar-AE"/>
          <w:rtl w:val="0"/>
        </w:rPr>
        <w:t>⁦[4، 5]⁩</w:t>
      </w:r>
      <w:r>
        <w:rPr>
          <w:rFonts w:ascii="Arial" w:hAnsi="Arial" w:cs="Arial"/>
          <w:color w:val="000000"/>
          <w:lang w:val="ar-AE" w:bidi="ar-AE"/>
          <w:rtl w:val="1"/>
        </w:rPr>
        <w:t>. المقارنة هنا تحفظ المشاهدات المشتركة عند كل ساعة من اليوم؛ لا تحفظ المسار الكامل داخل اليوم ولا علاقات الانتقال بين الساعات. لذلك لا تثبت فشل الطرق التي تحتفظ بهذه المعلومات الإضافية.</w:t>
      </w:r>
    </w:p>
    <w:p>
      <w:pPr>
        <w:pStyle w:val="Heading1"/>
        <w:jc w:val="start"/>
        <w:bidi w:val="1"/>
      </w:pPr>
      <w:r>
        <w:rPr>
          <w:rFonts w:ascii="Arial" w:hAnsi="Arial" w:cs="Arial"/>
          <w:color w:val="000000"/>
          <w:lang w:val="ar-AE" w:bidi="ar-AE"/>
          <w:rtl w:val="1"/>
        </w:rPr>
        <w:t>الفكرة لشخص غير متخصص</w:t>
      </w:r>
    </w:p>
    <w:p>
      <w:pPr>
        <w:jc w:val="start"/>
        <w:bidi w:val="1"/>
      </w:pPr>
      <w:r>
        <w:rPr>
          <w:rFonts w:ascii="Arial" w:hAnsi="Arial" w:cs="Arial"/>
          <w:color w:val="000000"/>
          <w:lang w:val="ar-AE" w:bidi="ar-AE"/>
          <w:rtl w:val="1"/>
        </w:rPr>
        <w:t>تخيّل بطاقات، على كل بطاقة طلب الكهرباء وحالة توفر جميع المولدات في ساعة واحدة. حتى لو بقيت البطاقات نفسها، وبقيت بطاقة الساعة الثامنة ضمن مجموعة الساعات الثامنة، فإن ترتيب الأيام قد يفرض على مولد أن يتوقف ثم يعود بسرعة أكبر مما تسمح به مدة التشغيل أو التوقف الدنيا. إحصاءات البطاقات وحدها قد تخفي هذا التعارض. البحث لا يكتفي بإظهار أن جدول تشغيل واحد فشل؛ بل يبحث عن برهان يمنع جميع الجداول الممكنة تحت الشروط المعلنة.</w:t>
      </w:r>
    </w:p>
    <w:p>
      <w:pPr>
        <w:jc w:val="start"/>
        <w:bidi w:val="1"/>
      </w:pPr>
      <w:r>
        <w:rPr>
          <w:rFonts w:ascii="Arial" w:hAnsi="Arial" w:cs="Arial"/>
          <w:color w:val="000000"/>
          <w:lang w:val="ar-AE" w:bidi="ar-AE"/>
          <w:rtl w:val="1"/>
        </w:rPr>
        <w:t xml:space="preserve">التطبيق حاسوبي على منظومة كهرباء اختبارية منشورة هي </w:t>
      </w:r>
      <w:r>
        <w:rPr>
          <w:rFonts w:ascii="Calibri" w:hAnsi="Calibri" w:cs="Calibri"/>
          <w:color w:val="000000"/>
          <w:lang w:val="en-US" w:bidi="ar-AE"/>
          <w:rtl w:val="0"/>
        </w:rPr>
        <w:t>⁦RTS-GMLC [6]⁩</w:t>
      </w:r>
      <w:r>
        <w:rPr>
          <w:rFonts w:ascii="Arial" w:hAnsi="Arial" w:cs="Arial"/>
          <w:color w:val="000000"/>
          <w:lang w:val="ar-AE" w:bidi="ar-AE"/>
          <w:rtl w:val="1"/>
        </w:rPr>
        <w:t xml:space="preserve">، وتحديدًا المنطقة الأولى المعزولة: </w:t>
      </w:r>
      <w:r>
        <w:rPr>
          <w:rFonts w:ascii="Calibri" w:hAnsi="Calibri" w:cs="Calibri"/>
          <w:color w:val="000000"/>
          <w:lang w:val="en-US" w:bidi="ar-AE"/>
          <w:rtl w:val="0"/>
        </w:rPr>
        <w:t>⁦24⁩</w:t>
      </w:r>
      <w:r>
        <w:rPr>
          <w:rFonts w:ascii="Arial" w:hAnsi="Arial" w:cs="Arial"/>
          <w:color w:val="000000"/>
          <w:lang w:val="ar-AE" w:bidi="ar-AE"/>
          <w:rtl w:val="1"/>
        </w:rPr>
        <w:t xml:space="preserve"> عقدة و</w:t>
      </w:r>
      <w:r>
        <w:rPr>
          <w:rFonts w:ascii="Calibri" w:hAnsi="Calibri" w:cs="Calibri"/>
          <w:color w:val="000000"/>
          <w:lang w:val="en-US" w:bidi="ar-AE"/>
          <w:rtl w:val="0"/>
        </w:rPr>
        <w:t>⁦38⁩</w:t>
      </w:r>
      <w:r>
        <w:rPr>
          <w:rFonts w:ascii="Arial" w:hAnsi="Arial" w:cs="Arial"/>
          <w:color w:val="000000"/>
          <w:lang w:val="ar-AE" w:bidi="ar-AE"/>
          <w:rtl w:val="1"/>
        </w:rPr>
        <w:t xml:space="preserve"> خطًا داخليًا و</w:t>
      </w:r>
      <w:r>
        <w:rPr>
          <w:rFonts w:ascii="Calibri" w:hAnsi="Calibri" w:cs="Calibri"/>
          <w:color w:val="000000"/>
          <w:lang w:val="en-US" w:bidi="ar-AE"/>
          <w:rtl w:val="0"/>
        </w:rPr>
        <w:t>⁦41⁩</w:t>
      </w:r>
      <w:r>
        <w:rPr>
          <w:rFonts w:ascii="Arial" w:hAnsi="Arial" w:cs="Arial"/>
          <w:color w:val="000000"/>
          <w:lang w:val="ar-AE" w:bidi="ar-AE"/>
          <w:rtl w:val="1"/>
        </w:rPr>
        <w:t xml:space="preserve"> مولدًا، منها </w:t>
      </w:r>
      <w:r>
        <w:rPr>
          <w:rFonts w:ascii="Calibri" w:hAnsi="Calibri" w:cs="Calibri"/>
          <w:color w:val="000000"/>
          <w:lang w:val="en-US" w:bidi="ar-AE"/>
          <w:rtl w:val="0"/>
        </w:rPr>
        <w:t>⁦24⁩</w:t>
      </w:r>
      <w:r>
        <w:rPr>
          <w:rFonts w:ascii="Arial" w:hAnsi="Arial" w:cs="Arial"/>
          <w:color w:val="000000"/>
          <w:lang w:val="ar-AE" w:bidi="ar-AE"/>
          <w:rtl w:val="1"/>
        </w:rPr>
        <w:t xml:space="preserve"> وحدة حرارية، لمدة </w:t>
      </w:r>
      <w:r>
        <w:rPr>
          <w:rFonts w:ascii="Calibri" w:hAnsi="Calibri" w:cs="Calibri"/>
          <w:color w:val="000000"/>
          <w:lang w:val="en-US" w:bidi="ar-AE"/>
          <w:rtl w:val="0"/>
        </w:rPr>
        <w:t>⁦168⁩</w:t>
      </w:r>
      <w:r>
        <w:rPr>
          <w:rFonts w:ascii="Arial" w:hAnsi="Arial" w:cs="Arial"/>
          <w:color w:val="000000"/>
          <w:lang w:val="ar-AE" w:bidi="ar-AE"/>
          <w:rtl w:val="1"/>
        </w:rPr>
        <w:t xml:space="preserve"> ساعة. لم نغيّر تشغيل محطة حقيقية، ولم ننفّذ تجربة ميدانية. حسابات الشبكة خطية، ولا تمثل تحليل تدفق قدرة متناوب كاملًا.</w:t>
      </w:r>
    </w:p>
    <w:p>
      <w:pPr>
        <w:pStyle w:val="Heading1"/>
        <w:jc w:val="start"/>
        <w:bidi w:val="1"/>
      </w:pPr>
      <w:r>
        <w:rPr>
          <w:rFonts w:ascii="Arial" w:hAnsi="Arial" w:cs="Arial"/>
          <w:color w:val="000000"/>
          <w:lang w:val="ar-AE" w:bidi="ar-AE"/>
          <w:rtl w:val="1"/>
        </w:rPr>
        <w:t>ما الذي أُنجز فعلًا؟</w:t>
      </w:r>
    </w:p>
    <w:p>
      <w:pPr>
        <w:jc w:val="start"/>
        <w:bidi w:val="1"/>
      </w:pPr>
      <w:r>
        <w:rPr>
          <w:rFonts w:ascii="Arial" w:hAnsi="Arial" w:cs="Arial"/>
          <w:color w:val="000000"/>
          <w:lang w:val="ar-AE" w:bidi="ar-AE"/>
          <w:rtl w:val="1"/>
        </w:rPr>
        <w:t xml:space="preserve">في أسبوع يناير الأول، حُدد سقف قدره </w:t>
      </w:r>
      <w:r>
        <w:rPr>
          <w:rFonts w:ascii="Calibri" w:hAnsi="Calibri" w:cs="Calibri"/>
          <w:color w:val="000000"/>
          <w:lang w:val="en-US" w:bidi="ar-AE"/>
          <w:rtl w:val="0"/>
        </w:rPr>
        <w:t>⁦23195⁩</w:t>
      </w:r>
      <w:r>
        <w:rPr>
          <w:rFonts w:ascii="Arial" w:hAnsi="Arial" w:cs="Arial"/>
          <w:color w:val="000000"/>
          <w:lang w:val="ar-AE" w:bidi="ar-AE"/>
          <w:rtl w:val="1"/>
        </w:rPr>
        <w:t xml:space="preserve"> ميغاواط ساعة للكهرباء المنتجة من الفحم والنفط والغاز. الجدول الأصلي صالح تحت هذا السقف. أُنشئت حالتان تعيدان ترتيب </w:t>
      </w:r>
      <w:r>
        <w:rPr>
          <w:rFonts w:ascii="Calibri" w:hAnsi="Calibri" w:cs="Calibri"/>
          <w:color w:val="000000"/>
          <w:lang w:val="en-US" w:bidi="ar-AE"/>
          <w:rtl w:val="0"/>
        </w:rPr>
        <w:t>⁦72⁩</w:t>
      </w:r>
      <w:r>
        <w:rPr>
          <w:rFonts w:ascii="Arial" w:hAnsi="Arial" w:cs="Arial"/>
          <w:color w:val="000000"/>
          <w:lang w:val="ar-AE" w:bidi="ar-AE"/>
          <w:rtl w:val="1"/>
        </w:rPr>
        <w:t xml:space="preserve"> ساعة داخل الأسبوع مع تثبيت أول وآخر </w:t>
      </w:r>
      <w:r>
        <w:rPr>
          <w:rFonts w:ascii="Calibri" w:hAnsi="Calibri" w:cs="Calibri"/>
          <w:color w:val="000000"/>
          <w:lang w:val="en-US" w:bidi="ar-AE"/>
          <w:rtl w:val="0"/>
        </w:rPr>
        <w:t>⁦48⁩</w:t>
      </w:r>
      <w:r>
        <w:rPr>
          <w:rFonts w:ascii="Arial" w:hAnsi="Arial" w:cs="Arial"/>
          <w:color w:val="000000"/>
          <w:lang w:val="ar-AE" w:bidi="ar-AE"/>
          <w:rtl w:val="1"/>
        </w:rPr>
        <w:t xml:space="preserve"> ساعة. ثم أُنشئت حالتان إضافيتان تحافظان أيضًا على ساعة اليوم لكل حزمة مدخلات. اجتازت الحالات الأربع فحص عدم الإمكان بشهادات دقيقة، مع ضوابط إيجابية بقي التشغيل فيها ممكنًا. الجدول </w:t>
      </w:r>
      <w:r>
        <w:rPr>
          <w:rFonts w:ascii="Calibri" w:hAnsi="Calibri" w:cs="Calibri"/>
          <w:color w:val="000000"/>
          <w:lang w:val="en-US" w:bidi="ar-AE"/>
          <w:rtl w:val="0"/>
        </w:rPr>
        <w:t>⁦1⁩</w:t>
      </w:r>
      <w:r>
        <w:rPr>
          <w:rFonts w:ascii="Arial" w:hAnsi="Arial" w:cs="Arial"/>
          <w:color w:val="000000"/>
          <w:lang w:val="ar-AE" w:bidi="ar-AE"/>
          <w:rtl w:val="1"/>
        </w:rPr>
        <w:t xml:space="preserve"> يفصل الحالات العادية عن هذه الضوابط.</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⁦1⁩</w:t>
      </w:r>
      <w:r>
        <w:rPr>
          <w:rFonts w:ascii="Arial" w:hAnsi="Arial" w:cs="Arial"/>
          <w:color w:val="000000"/>
          <w:sz w:val="21"/>
          <w:lang w:val="ar-AE" w:bidi="ar-AE"/>
          <w:rtl w:val="1"/>
          <w:szCs w:val="21"/>
        </w:rPr>
        <w:t>: نتائج الحالات العادية المكتملة في هذه المسودة</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4464"/>
        <w:gridCol w:w="1008"/>
        <w:gridCol w:w="1224"/>
        <w:gridCol w:w="1224"/>
        <w:gridCol w:w="1440"/>
      </w:tblGrid>
      <w:tr>
        <w:trPr>
          <w:cantSplit/>
          <w:tblHeader/>
        </w:trPr>
        <w:tc>
          <w:tcPr>
            <w:tcW w:type="dxa" w:w="446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المقارنة</w:t>
            </w:r>
          </w:p>
        </w:tc>
        <w:tc>
          <w:tcPr>
            <w:tcW w:type="dxa" w:w="1008"/>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الحالات</w:t>
            </w:r>
          </w:p>
        </w:tc>
        <w:tc>
          <w:tcPr>
            <w:tcW w:type="dxa" w:w="12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ممكنة</w:t>
            </w:r>
          </w:p>
        </w:tc>
        <w:tc>
          <w:tcPr>
            <w:tcW w:type="dxa" w:w="12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مستحيلة</w:t>
            </w:r>
          </w:p>
        </w:tc>
        <w:tc>
          <w:tcPr>
            <w:tcW w:type="dxa" w:w="144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غير محسومة</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إعادة ترتيب الساعات</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تثبيت ساعة اليوم</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تبديل الأيام الكاملة</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5</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استكمال أبريل وأكتوبر</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4</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 xml:space="preserve">يناير </w:t>
            </w:r>
            <w:r>
              <w:rPr>
                <w:rFonts w:ascii="Calibri" w:hAnsi="Calibri" w:cs="Calibri"/>
                <w:color w:val="000000"/>
                <w:sz w:val="20"/>
                <w:lang w:val="en-US" w:bidi="ar-AE"/>
                <w:rtl w:val="0"/>
              </w:rPr>
              <w:t>⁦8–14⁩</w:t>
            </w:r>
            <w:r>
              <w:rPr>
                <w:rFonts w:ascii="Arial" w:hAnsi="Arial" w:cs="Arial"/>
                <w:color w:val="000000"/>
                <w:sz w:val="20"/>
                <w:lang w:val="ar-AE" w:bidi="ar-AE"/>
                <w:rtl w:val="1"/>
                <w:szCs w:val="20"/>
              </w:rPr>
              <w:t>: تثبيت ساعة اليوم</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1</w:t>
            </w:r>
          </w:p>
        </w:tc>
      </w:tr>
      <w:tr>
        <w:trPr>
          <w:cantSplit/>
        </w:trPr>
        <w:tc>
          <w:tcPr>
            <w:tcW w:type="dxa" w:w="4464"/>
            <w:vAlign w:val="center"/>
          </w:tcPr>
          <w:p>
            <w:pPr>
              <w:keepNext w:val="0"/>
              <w:spacing w:after="80" w:before="80" w:line="252" w:lineRule="auto"/>
              <w:jc w:val="start"/>
              <w:bidi w:val="1"/>
            </w:pPr>
            <w:r>
              <w:rPr>
                <w:rFonts w:ascii="Arial" w:hAnsi="Arial" w:cs="Arial"/>
                <w:color w:val="000000"/>
                <w:sz w:val="20"/>
                <w:lang w:val="ar-AE" w:bidi="ar-AE"/>
                <w:rtl w:val="1"/>
                <w:szCs w:val="20"/>
              </w:rPr>
              <w:t xml:space="preserve">يناير </w:t>
            </w:r>
            <w:r>
              <w:rPr>
                <w:rFonts w:ascii="Calibri" w:hAnsi="Calibri" w:cs="Calibri"/>
                <w:color w:val="000000"/>
                <w:sz w:val="20"/>
                <w:lang w:val="en-US" w:bidi="ar-AE"/>
                <w:rtl w:val="0"/>
              </w:rPr>
              <w:t>⁦15–21⁩</w:t>
            </w:r>
            <w:r>
              <w:rPr>
                <w:rFonts w:ascii="Arial" w:hAnsi="Arial" w:cs="Arial"/>
                <w:color w:val="000000"/>
                <w:sz w:val="20"/>
                <w:lang w:val="ar-AE" w:bidi="ar-AE"/>
                <w:rtl w:val="1"/>
                <w:szCs w:val="20"/>
              </w:rPr>
              <w:t>: تثبيت ساعة اليوم</w:t>
            </w:r>
          </w:p>
        </w:tc>
        <w:tc>
          <w:tcPr>
            <w:tcW w:type="dxa" w:w="1008"/>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val="0"/>
              <w:spacing w:after="80" w:before="80" w:line="252" w:lineRule="auto"/>
              <w:jc w:val="center"/>
              <w:bidi w:val="0"/>
            </w:pPr>
            <w:r>
              <w:rPr>
                <w:rFonts w:ascii="Calibri" w:hAnsi="Calibri" w:cs="Calibri"/>
                <w:color w:val="000000"/>
                <w:sz w:val="20"/>
                <w:lang w:val="en-US" w:bidi="ar-AE"/>
                <w:rtl w:val="0"/>
              </w:rPr>
              <w:t>0</w:t>
            </w:r>
          </w:p>
        </w:tc>
      </w:tr>
    </w:tbl>
    <w:p>
      <w:pPr>
        <w:jc w:val="start"/>
        <w:bidi w:val="1"/>
      </w:pPr>
      <w:r>
        <w:rPr>
          <w:rFonts w:ascii="Arial" w:hAnsi="Arial" w:cs="Arial"/>
          <w:color w:val="000000"/>
          <w:lang w:val="ar-AE" w:bidi="ar-AE"/>
          <w:rtl w:val="1"/>
        </w:rPr>
        <w:t>تعني «ممكنة» وجود جدول ثنائي اجتاز الفحص الدقيق، وتعني «مستحيلة» وجود شهادة دقيقة تمنع الحل حتى في الاسترخاء المستمر. وتعني «غير محسومة» أن الوقت المخصص انتهى من دون شهادة أو جدول ثنائي مقبول. لا يجوز تحويل انتهاء وقت الحل إلى إثبات استحالة. تعود الحالات الأربع السلبية الأولى إلى أسبوع واحد؛ لذا ليست أربع عمليات تكرار مستقلة.</w:t>
      </w:r>
    </w:p>
    <w:p>
      <w:pPr>
        <w:jc w:val="start"/>
        <w:bidi w:val="1"/>
      </w:pPr>
      <w:r>
        <w:rPr>
          <w:rFonts w:ascii="Arial" w:hAnsi="Arial" w:cs="Arial"/>
          <w:color w:val="000000"/>
          <w:lang w:val="ar-AE" w:bidi="ar-AE"/>
          <w:rtl w:val="1"/>
        </w:rPr>
        <w:t xml:space="preserve">ثم نُقلت المقارنة إلى أسبوعي </w:t>
      </w:r>
      <w:r>
        <w:rPr>
          <w:rFonts w:ascii="Calibri" w:hAnsi="Calibri" w:cs="Calibri"/>
          <w:color w:val="000000"/>
          <w:lang w:val="en-US" w:bidi="ar-AE"/>
          <w:rtl w:val="0"/>
        </w:rPr>
        <w:t>⁦8–14⁩</w:t>
      </w:r>
      <w:r>
        <w:rPr>
          <w:rFonts w:ascii="Arial" w:hAnsi="Arial" w:cs="Arial"/>
          <w:color w:val="000000"/>
          <w:lang w:val="ar-AE" w:bidi="ar-AE"/>
          <w:rtl w:val="1"/>
        </w:rPr>
        <w:t xml:space="preserve"> و</w:t>
      </w:r>
      <w:r>
        <w:rPr>
          <w:rFonts w:ascii="Calibri" w:hAnsi="Calibri" w:cs="Calibri"/>
          <w:color w:val="000000"/>
          <w:lang w:val="en-US" w:bidi="ar-AE"/>
          <w:rtl w:val="0"/>
        </w:rPr>
        <w:t>⁦15–21⁩</w:t>
      </w:r>
      <w:r>
        <w:rPr>
          <w:rFonts w:ascii="Arial" w:hAnsi="Arial" w:cs="Arial"/>
          <w:color w:val="000000"/>
          <w:lang w:val="ar-AE" w:bidi="ar-AE"/>
          <w:rtl w:val="1"/>
        </w:rPr>
        <w:t xml:space="preserve"> يناير، اللذين لم يُستخدما في نتائج الأسبوع الأول. ثبتت الاستحالة في ثلاث من أربع حالات جديدة، وبقيت الرابعة غير محسومة. لكل أسبوع جدول أصلي صالح وضابط إيجابي مفحوصان، وسقف محدد من المرجع نفسه: </w:t>
      </w:r>
      <w:r>
        <w:rPr>
          <w:rFonts w:ascii="Calibri" w:hAnsi="Calibri" w:cs="Calibri"/>
          <w:color w:val="000000"/>
          <w:lang w:val="en-US" w:bidi="ar-AE"/>
          <w:rtl w:val="0"/>
        </w:rPr>
        <w:t>⁦26532⁩</w:t>
      </w:r>
      <w:r>
        <w:rPr>
          <w:rFonts w:ascii="Arial" w:hAnsi="Arial" w:cs="Arial"/>
          <w:color w:val="000000"/>
          <w:lang w:val="ar-AE" w:bidi="ar-AE"/>
          <w:rtl w:val="1"/>
        </w:rPr>
        <w:t xml:space="preserve"> و</w:t>
      </w:r>
      <w:r>
        <w:rPr>
          <w:rFonts w:ascii="Calibri" w:hAnsi="Calibri" w:cs="Calibri"/>
          <w:color w:val="000000"/>
          <w:lang w:val="en-US" w:bidi="ar-AE"/>
          <w:rtl w:val="0"/>
        </w:rPr>
        <w:t>⁦48319⁩</w:t>
      </w:r>
      <w:r>
        <w:rPr>
          <w:rFonts w:ascii="Arial" w:hAnsi="Arial" w:cs="Arial"/>
          <w:color w:val="000000"/>
          <w:lang w:val="ar-AE" w:bidi="ar-AE"/>
          <w:rtl w:val="1"/>
        </w:rPr>
        <w:t xml:space="preserve"> ميغاواط ساعة. هكذا أصبح لدينا خمس حالات سلبية مؤكدة من ست حالات تثبت ساعة اليوم عبر ثلاثة أسابيع منفصلة. هذه إعادة اختبار على أسابيع جديدة من الشبكة نفسها وفي الشهر نفسه؛ ليست تجربة على شبكة مستقلة أو تقديرًا إحصائيًا لنسبة النجاح.</w:t>
      </w:r>
    </w:p>
    <w:p>
      <w:pPr>
        <w:jc w:val="start"/>
        <w:bidi w:val="1"/>
      </w:pPr>
      <w:r>
        <w:rPr>
          <w:rFonts w:ascii="Arial" w:hAnsi="Arial" w:cs="Arial"/>
          <w:color w:val="000000"/>
          <w:lang w:val="ar-AE" w:bidi="ar-AE"/>
          <w:rtl w:val="1"/>
        </w:rPr>
        <w:t xml:space="preserve">وللحالات الأربع في أسبوع يناير الأول، أُزيل السقف وحُسبت حدود مؤكدة للطاقة الأحفورية المثلى في كل ترتيب. النتائج في الجدول </w:t>
      </w:r>
      <w:r>
        <w:rPr>
          <w:rFonts w:ascii="Calibri" w:hAnsi="Calibri" w:cs="Calibri"/>
          <w:color w:val="000000"/>
          <w:lang w:val="en-US" w:bidi="ar-AE"/>
          <w:rtl w:val="0"/>
        </w:rPr>
        <w:t>⁦2⁩</w:t>
      </w:r>
      <w:r>
        <w:rPr>
          <w:rFonts w:ascii="Arial" w:hAnsi="Arial" w:cs="Arial"/>
          <w:color w:val="000000"/>
          <w:lang w:val="ar-AE" w:bidi="ar-AE"/>
          <w:rtl w:val="1"/>
        </w:rPr>
        <w:t xml:space="preserve"> تخص الفرق بين الحلين الأمثلين. أول سطرين يخصان التبديل غير المقيد بساعة اليوم، وآخر سطرين يخصان تثبيت ساعة اليوم. الحدود عريضة لأن الحل الأمثل نفسه لم يُحسم، لكن طرفها الأدنى موجب في الحالات الأربع.</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⁦2⁩</w:t>
      </w:r>
      <w:r>
        <w:rPr>
          <w:rFonts w:ascii="Arial" w:hAnsi="Arial" w:cs="Arial"/>
          <w:color w:val="000000"/>
          <w:sz w:val="21"/>
          <w:lang w:val="ar-AE" w:bidi="ar-AE"/>
          <w:rtl w:val="1"/>
          <w:szCs w:val="21"/>
        </w:rPr>
        <w:t>: زيادة الطاقة الأحفورية المثلى بعد تغيير الترتيب</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1440"/>
        <w:gridCol w:w="4896"/>
        <w:gridCol w:w="3024"/>
      </w:tblGrid>
      <w:tr>
        <w:trPr>
          <w:cantSplit/>
          <w:tblHeader/>
        </w:trPr>
        <w:tc>
          <w:tcPr>
            <w:tcW w:type="dxa" w:w="144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الحالة</w:t>
            </w:r>
          </w:p>
        </w:tc>
        <w:tc>
          <w:tcPr>
            <w:tcW w:type="dxa" w:w="4896"/>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 xml:space="preserve">الزيادة المؤكدة ضمن المجال، </w:t>
            </w:r>
            <w:r>
              <w:rPr>
                <w:rFonts w:ascii="Calibri" w:hAnsi="Calibri" w:cs="Calibri"/>
                <w:b/>
                <w:color w:val="000000"/>
                <w:sz w:val="20"/>
                <w:lang w:val="en-US" w:bidi="ar-AE"/>
                <w:rtl w:val="0"/>
              </w:rPr>
              <w:t>⁦MWh⁩</w:t>
            </w:r>
          </w:p>
        </w:tc>
        <w:tc>
          <w:tcPr>
            <w:tcW w:type="dxa" w:w="30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الزيادة النسبية</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26093100</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[1542.835730, 2546.796204]</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[6.718221%, 11.261126%]</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26093101</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[2139.151137, 3077.464141]</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[9.314855%, 13.607571%]</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26093200</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[566.366617, 1336.352662]</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[2.466222%, 5.908928%]</w:t>
            </w:r>
          </w:p>
        </w:tc>
      </w:tr>
      <w:tr>
        <w:trPr>
          <w:cantSplit/>
        </w:trPr>
        <w:tc>
          <w:tcPr>
            <w:tcW w:type="dxa" w:w="1440"/>
            <w:vAlign w:val="center"/>
          </w:tcPr>
          <w:p>
            <w:pPr>
              <w:keepNext w:val="0"/>
              <w:spacing w:after="80" w:before="80" w:line="252" w:lineRule="auto"/>
              <w:jc w:val="center"/>
              <w:bidi w:val="0"/>
            </w:pPr>
            <w:r>
              <w:rPr>
                <w:rFonts w:ascii="Calibri" w:hAnsi="Calibri" w:cs="Calibri"/>
                <w:color w:val="000000"/>
                <w:sz w:val="20"/>
                <w:lang w:val="en-US" w:bidi="ar-AE"/>
                <w:rtl w:val="0"/>
              </w:rPr>
              <w:t>26093201</w:t>
            </w:r>
          </w:p>
        </w:tc>
        <w:tc>
          <w:tcPr>
            <w:tcW w:type="dxa" w:w="4896"/>
            <w:vAlign w:val="center"/>
          </w:tcPr>
          <w:p>
            <w:pPr>
              <w:keepNext w:val="0"/>
              <w:spacing w:after="80" w:before="80" w:line="252" w:lineRule="auto"/>
              <w:jc w:val="center"/>
              <w:bidi w:val="0"/>
            </w:pPr>
            <w:r>
              <w:rPr>
                <w:rFonts w:ascii="Calibri" w:hAnsi="Calibri" w:cs="Calibri"/>
                <w:color w:val="000000"/>
                <w:sz w:val="20"/>
                <w:lang w:val="en-US" w:bidi="ar-AE"/>
                <w:rtl w:val="0"/>
              </w:rPr>
              <w:t>[858.121844, 1408.976215]</w:t>
            </w:r>
          </w:p>
        </w:tc>
        <w:tc>
          <w:tcPr>
            <w:tcW w:type="dxa" w:w="3024"/>
            <w:vAlign w:val="center"/>
          </w:tcPr>
          <w:p>
            <w:pPr>
              <w:keepNext w:val="0"/>
              <w:spacing w:after="80" w:before="80" w:line="252" w:lineRule="auto"/>
              <w:jc w:val="center"/>
              <w:bidi w:val="0"/>
            </w:pPr>
            <w:r>
              <w:rPr>
                <w:rFonts w:ascii="Calibri" w:hAnsi="Calibri" w:cs="Calibri"/>
                <w:color w:val="000000"/>
                <w:sz w:val="20"/>
                <w:lang w:val="en-US" w:bidi="ar-AE"/>
                <w:rtl w:val="0"/>
              </w:rPr>
              <w:t>[3.736660%, 6.230047%]</w:t>
            </w:r>
          </w:p>
        </w:tc>
      </w:tr>
    </w:tbl>
    <w:p>
      <w:pPr>
        <w:jc w:val="start"/>
        <w:bidi w:val="1"/>
      </w:pPr>
      <w:r>
        <w:rPr>
          <w:rFonts w:ascii="Arial" w:hAnsi="Arial" w:cs="Arial"/>
          <w:color w:val="000000"/>
          <w:lang w:val="ar-AE" w:bidi="ar-AE"/>
          <w:rtl w:val="1"/>
        </w:rPr>
        <w:t xml:space="preserve">بمعنى عملي: حتى أفضل خطة في الترتيب المعدّل تحتاج طاقة أحفورية أكثر من أفضل خطة في الترتيب الأصلي. ومع تثبيت ساعة اليوم، لا تقل الزيادة عن نحو </w:t>
      </w:r>
      <w:r>
        <w:rPr>
          <w:rFonts w:ascii="Calibri" w:hAnsi="Calibri" w:cs="Calibri"/>
          <w:color w:val="000000"/>
          <w:lang w:val="en-US" w:bidi="ar-AE"/>
          <w:rtl w:val="0"/>
        </w:rPr>
        <w:t>⁦566⁩</w:t>
      </w:r>
      <w:r>
        <w:rPr>
          <w:rFonts w:ascii="Arial" w:hAnsi="Arial" w:cs="Arial"/>
          <w:color w:val="000000"/>
          <w:lang w:val="ar-AE" w:bidi="ar-AE"/>
          <w:rtl w:val="1"/>
        </w:rPr>
        <w:t xml:space="preserve"> أو </w:t>
      </w:r>
      <w:r>
        <w:rPr>
          <w:rFonts w:ascii="Calibri" w:hAnsi="Calibri" w:cs="Calibri"/>
          <w:color w:val="000000"/>
          <w:lang w:val="en-US" w:bidi="ar-AE"/>
          <w:rtl w:val="0"/>
        </w:rPr>
        <w:t>⁦858⁩</w:t>
      </w:r>
      <w:r>
        <w:rPr>
          <w:rFonts w:ascii="Arial" w:hAnsi="Arial" w:cs="Arial"/>
          <w:color w:val="000000"/>
          <w:lang w:val="ar-AE" w:bidi="ar-AE"/>
          <w:rtl w:val="1"/>
        </w:rPr>
        <w:t xml:space="preserve"> ميغاواط ساعة في المثالين؛ وتبلغ الزيادة النسبية المؤكدة ضمن المجالين </w:t>
      </w:r>
      <w:r>
        <w:rPr>
          <w:rFonts w:ascii="Calibri" w:hAnsi="Calibri" w:cs="Calibri"/>
          <w:color w:val="000000"/>
          <w:lang w:val="en-US" w:bidi="ar-AE"/>
          <w:rtl w:val="0"/>
        </w:rPr>
        <w:t>⁦2.466222–5.908928%⁩</w:t>
      </w:r>
      <w:r>
        <w:rPr>
          <w:rFonts w:ascii="Arial" w:hAnsi="Arial" w:cs="Arial"/>
          <w:color w:val="000000"/>
          <w:lang w:val="ar-AE" w:bidi="ar-AE"/>
          <w:rtl w:val="1"/>
        </w:rPr>
        <w:t xml:space="preserve"> و</w:t>
      </w:r>
      <w:r>
        <w:rPr>
          <w:rFonts w:ascii="Calibri" w:hAnsi="Calibri" w:cs="Calibri"/>
          <w:color w:val="000000"/>
          <w:lang w:val="en-US" w:bidi="ar-AE"/>
          <w:rtl w:val="0"/>
        </w:rPr>
        <w:t>⁦3.736660–6.230047%⁩</w:t>
      </w:r>
      <w:r>
        <w:rPr>
          <w:rFonts w:ascii="Arial" w:hAnsi="Arial" w:cs="Arial"/>
          <w:color w:val="000000"/>
          <w:lang w:val="ar-AE" w:bidi="ar-AE"/>
          <w:rtl w:val="1"/>
        </w:rPr>
        <w:t xml:space="preserve">. هذه ليست كمية وقود، ولا انبعاثات، ولا وفرًا تشغيليًا ثبت في محطة. يوضح الشكل </w:t>
      </w:r>
      <w:r>
        <w:rPr>
          <w:rFonts w:ascii="Calibri" w:hAnsi="Calibri" w:cs="Calibri"/>
          <w:color w:val="000000"/>
          <w:lang w:val="en-US" w:bidi="ar-AE"/>
          <w:rtl w:val="0"/>
        </w:rPr>
        <w:t>⁦1⁩</w:t>
      </w:r>
      <w:r>
        <w:rPr>
          <w:rFonts w:ascii="Arial" w:hAnsi="Arial" w:cs="Arial"/>
          <w:color w:val="000000"/>
          <w:lang w:val="ar-AE" w:bidi="ar-AE"/>
          <w:rtl w:val="1"/>
        </w:rPr>
        <w:t xml:space="preserve"> الحالتين الأوليين من الجدول.</w:t>
      </w:r>
    </w:p>
    <w:p>
      <w:pPr>
        <w:keepNext/>
        <w:jc w:val="center"/>
      </w:pPr>
      <w:r>
        <w:drawing>
          <wp:inline xmlns:a="http://schemas.openxmlformats.org/drawingml/2006/main" xmlns:pic="http://schemas.openxmlformats.org/drawingml/2006/picture">
            <wp:extent cx="5715000" cy="2714625"/>
            <wp:docPr id="1" name="Picture 1"/>
            <wp:cNvGraphicFramePr>
              <a:graphicFrameLocks noChangeAspect="1"/>
            </wp:cNvGraphicFramePr>
            <a:graphic>
              <a:graphicData uri="http://schemas.openxmlformats.org/drawingml/2006/picture">
                <pic:pic>
                  <pic:nvPicPr>
                    <pic:cNvPr id="0" name="certified_energy_intervals.png"/>
                    <pic:cNvPicPr/>
                  </pic:nvPicPr>
                  <pic:blipFill>
                    <a:blip r:embed="rId11"/>
                    <a:stretch>
                      <a:fillRect/>
                    </a:stretch>
                  </pic:blipFill>
                  <pic:spPr>
                    <a:xfrm>
                      <a:off x="0" y="0"/>
                      <a:ext cx="5715000" cy="2714625"/>
                    </a:xfrm>
                    <a:prstGeom prst="rect"/>
                  </pic:spPr>
                </pic:pic>
              </a:graphicData>
            </a:graphic>
          </wp:inline>
        </w:drawing>
      </w:r>
    </w:p>
    <w:p>
      <w:pPr>
        <w:pStyle w:val="Caption"/>
        <w:jc w:val="start"/>
        <w:bidi w:val="1"/>
      </w:pPr>
      <w:r>
        <w:rPr>
          <w:rFonts w:ascii="Arial" w:hAnsi="Arial" w:cs="Arial"/>
          <w:color w:val="000000"/>
          <w:sz w:val="21"/>
          <w:lang w:val="ar-AE" w:bidi="ar-AE"/>
          <w:rtl w:val="1"/>
          <w:szCs w:val="21"/>
        </w:rPr>
        <w:t xml:space="preserve">الشكل </w:t>
      </w:r>
      <w:r>
        <w:rPr>
          <w:rFonts w:ascii="Calibri" w:hAnsi="Calibri" w:cs="Calibri"/>
          <w:color w:val="000000"/>
          <w:sz w:val="21"/>
          <w:lang w:val="en-US" w:bidi="ar-AE"/>
          <w:rtl w:val="0"/>
        </w:rPr>
        <w:t>⁦1⁩</w:t>
      </w:r>
      <w:r>
        <w:rPr>
          <w:rFonts w:ascii="Arial" w:hAnsi="Arial" w:cs="Arial"/>
          <w:color w:val="000000"/>
          <w:sz w:val="21"/>
          <w:lang w:val="ar-AE" w:bidi="ar-AE"/>
          <w:rtl w:val="1"/>
          <w:szCs w:val="21"/>
        </w:rPr>
        <w:t xml:space="preserve">: مجالات تحتوي الطاقة المثلى للترتيب الأصلي وحالتي إعادة ترتيب الساعات. الخط العمودي يبين السقف المشترك. الشكل يخص الحالتين الأوليين في الجدول </w:t>
      </w:r>
      <w:r>
        <w:rPr>
          <w:rFonts w:ascii="Calibri" w:hAnsi="Calibri" w:cs="Calibri"/>
          <w:color w:val="000000"/>
          <w:sz w:val="21"/>
          <w:lang w:val="en-US" w:bidi="ar-AE"/>
          <w:rtl w:val="0"/>
        </w:rPr>
        <w:t>⁦2⁩</w:t>
      </w:r>
      <w:r>
        <w:rPr>
          <w:rFonts w:ascii="Arial" w:hAnsi="Arial" w:cs="Arial"/>
          <w:color w:val="000000"/>
          <w:sz w:val="21"/>
          <w:lang w:val="ar-AE" w:bidi="ar-AE"/>
          <w:rtl w:val="1"/>
          <w:szCs w:val="21"/>
        </w:rPr>
        <w:t>، وليس حالتي تثبيت ساعة اليوم.</w:t>
      </w:r>
    </w:p>
    <w:p>
      <w:pPr>
        <w:pStyle w:val="Heading1"/>
        <w:jc w:val="start"/>
        <w:bidi w:val="1"/>
      </w:pPr>
      <w:r>
        <w:rPr>
          <w:rFonts w:ascii="Arial" w:hAnsi="Arial" w:cs="Arial"/>
          <w:color w:val="000000"/>
          <w:lang w:val="ar-AE" w:bidi="ar-AE"/>
          <w:rtl w:val="1"/>
        </w:rPr>
        <w:t>لماذا نثق بالنتيجة، وما حدود الدقة؟</w:t>
      </w:r>
    </w:p>
    <w:p>
      <w:pPr>
        <w:jc w:val="start"/>
        <w:bidi w:val="1"/>
      </w:pPr>
      <w:r>
        <w:rPr>
          <w:rFonts w:ascii="Arial" w:hAnsi="Arial" w:cs="Arial"/>
          <w:color w:val="000000"/>
          <w:lang w:val="ar-AE" w:bidi="ar-AE"/>
          <w:rtl w:val="1"/>
        </w:rPr>
        <w:t xml:space="preserve">استُخدمت قيم الأعداد المخزنة فعليًا في الملفات، وحُولت إلى كسور دقيقة لفحص الشهادات والجداول. وسّعنا كل حد عددي محدود بمقدار عددي ثابت قيمته المخزنة تساوي </w:t>
      </w:r>
      <w:r>
        <w:rPr>
          <w:rFonts w:ascii="Calibri" w:hAnsi="Calibri" w:cs="Calibri"/>
          <w:color w:val="000000"/>
          <w:lang w:val="en-US" w:bidi="ar-AE"/>
          <w:rtl w:val="0"/>
        </w:rPr>
        <w:t>⁦1e-5⁩</w:t>
      </w:r>
      <w:r>
        <w:rPr>
          <w:rFonts w:ascii="Arial" w:hAnsi="Arial" w:cs="Arial"/>
          <w:color w:val="000000"/>
          <w:lang w:val="ar-AE" w:bidi="ar-AE"/>
          <w:rtl w:val="1"/>
        </w:rPr>
        <w:t>، مع إبقاء حالات التشغيل ثنائية تمامًا. هذا تعريف معلن للنموذج الذي نثبت عنه النتائج؛ ليس هامش خطأ فيزيائيًا موحدًا، لأن الحدود تحمل وحدات مختلفة. الجداول الإيجابية الحالية لا تحقق جميع حدود النموذج غير الموسّع بدقة تامة، ولذلك لا نسميها حلولًا دقيقة لذلك النموذج الآخر.</w:t>
      </w:r>
    </w:p>
    <w:p>
      <w:pPr>
        <w:jc w:val="start"/>
        <w:bidi w:val="1"/>
      </w:pPr>
      <w:r>
        <w:rPr>
          <w:rFonts w:ascii="Arial" w:hAnsi="Arial" w:cs="Arial"/>
          <w:color w:val="000000"/>
          <w:lang w:val="ar-AE" w:bidi="ar-AE"/>
          <w:rtl w:val="1"/>
        </w:rPr>
        <w:t xml:space="preserve">يمكن لمدقق مستقل مكتوب بمكتبة </w:t>
      </w:r>
      <w:r>
        <w:rPr>
          <w:rFonts w:ascii="Calibri" w:hAnsi="Calibri" w:cs="Calibri"/>
          <w:color w:val="000000"/>
          <w:lang w:val="en-US" w:bidi="ar-AE"/>
          <w:rtl w:val="0"/>
        </w:rPr>
        <w:t>⁦Python⁩</w:t>
      </w:r>
      <w:r>
        <w:rPr>
          <w:rFonts w:ascii="Arial" w:hAnsi="Arial" w:cs="Arial"/>
          <w:color w:val="000000"/>
          <w:lang w:val="ar-AE" w:bidi="ar-AE"/>
          <w:rtl w:val="1"/>
        </w:rPr>
        <w:t xml:space="preserve"> القياسية إعادة فحص الشهادات من دون برنامج تحسين. اجتاز </w:t>
      </w:r>
      <w:r>
        <w:rPr>
          <w:rFonts w:ascii="Calibri" w:hAnsi="Calibri" w:cs="Calibri"/>
          <w:color w:val="000000"/>
          <w:lang w:val="en-US" w:bidi="ar-AE"/>
          <w:rtl w:val="0"/>
        </w:rPr>
        <w:t>⁦35⁩</w:t>
      </w:r>
      <w:r>
        <w:rPr>
          <w:rFonts w:ascii="Arial" w:hAnsi="Arial" w:cs="Arial"/>
          <w:color w:val="000000"/>
          <w:lang w:val="ar-AE" w:bidi="ar-AE"/>
          <w:rtl w:val="1"/>
        </w:rPr>
        <w:t xml:space="preserve"> اختبارًا عدائيًا مصممًا لاكتشاف أخطاء الفحص، وأُعيدت شهادتان سلبيتان وجدولان إيجابيان من حزمة التسليم الثالثة إلى مسار جديد على الجهاز نفسه. إعادة الفحص على جهاز مستقل بالكامل لم تنفذ بعد. حساب حدود صحيحة بعد الحل، وفحص نتائج التحسين بالأعداد الدقيقة، لهما سوابق واضحة </w:t>
      </w:r>
      <w:r>
        <w:rPr>
          <w:rFonts w:ascii="Calibri" w:hAnsi="Calibri" w:cs="Calibri"/>
          <w:color w:val="000000"/>
          <w:lang w:val="en-US" w:bidi="ar-AE"/>
          <w:rtl w:val="0"/>
        </w:rPr>
        <w:t>⁦[7، 8]⁩</w:t>
      </w:r>
      <w:r>
        <w:rPr>
          <w:rFonts w:ascii="Arial" w:hAnsi="Arial" w:cs="Arial"/>
          <w:color w:val="000000"/>
          <w:lang w:val="ar-AE" w:bidi="ar-AE"/>
          <w:rtl w:val="1"/>
        </w:rPr>
        <w:t>؛ لا ندعي اختراعهما.</w:t>
      </w:r>
    </w:p>
    <w:p>
      <w:pPr>
        <w:jc w:val="start"/>
        <w:bidi w:val="1"/>
      </w:pPr>
      <w:r>
        <w:rPr>
          <w:rFonts w:ascii="Arial" w:hAnsi="Arial" w:cs="Arial"/>
          <w:color w:val="000000"/>
          <w:lang w:val="ar-AE" w:bidi="ar-AE"/>
          <w:rtl w:val="1"/>
        </w:rPr>
        <w:t>أظهر تدقيق بنيوي أنه بعد حذف قيود الحد الأدنى لمدة التشغيل والتوقف فقط، تصبح مجموعة الطاقات الممكنة في النموذج المدروس ثابتة تحت تبديل حزم الساعات. هذا يوضح مصدر أثر الترتيب ضمن فرضيات النموذج. لا ينطبق البرهان تلقائيًا عند إضافة تخزين أو قيود تغير قدرة مؤثرة أو شروط بداية مختلفة.</w:t>
      </w:r>
    </w:p>
    <w:p>
      <w:pPr>
        <w:pStyle w:val="Heading1"/>
        <w:jc w:val="start"/>
        <w:bidi w:val="1"/>
      </w:pPr>
      <w:r>
        <w:rPr>
          <w:rFonts w:ascii="Arial" w:hAnsi="Arial" w:cs="Arial"/>
          <w:color w:val="000000"/>
          <w:lang w:val="ar-AE" w:bidi="ar-AE"/>
          <w:rtl w:val="1"/>
        </w:rPr>
        <w:t>النتائج السلبية التي يجب أن تبقى في الورقة</w:t>
      </w:r>
    </w:p>
    <w:p>
      <w:pPr>
        <w:jc w:val="start"/>
        <w:bidi w:val="1"/>
      </w:pPr>
      <w:r>
        <w:rPr>
          <w:rFonts w:ascii="Arial" w:hAnsi="Arial" w:cs="Arial"/>
          <w:color w:val="000000"/>
          <w:lang w:val="ar-AE" w:bidi="ar-AE"/>
          <w:rtl w:val="1"/>
        </w:rPr>
        <w:t>أولًا، من تبديلات الأيام الكاملة الخمسة، ثبتت إمكانية واحدة وبقيت أربع غير محسومة. وثانيًا، لم يعط استكمال أبريل وأكتوبر حالة عادية سلبية مؤكدة؛ لذلك لم يتحقق معيار التكرار عبر أسبوعين في هذه التجربة. وثالثًا، قاعدة تفسير صغيرة نجحت في يوليو لم تنتقل بكفاءة ثابتة إلى يناير؛ وقد تغيرت معها فرضيات النموذج، فلا يمكن عزو الفرق إلى الفصل وحده.</w:t>
      </w:r>
    </w:p>
    <w:p>
      <w:pPr>
        <w:jc w:val="start"/>
        <w:bidi w:val="1"/>
      </w:pPr>
      <w:r>
        <w:rPr>
          <w:rFonts w:ascii="Arial" w:hAnsi="Arial" w:cs="Arial"/>
          <w:color w:val="000000"/>
          <w:lang w:val="ar-AE" w:bidi="ar-AE"/>
          <w:rtl w:val="1"/>
        </w:rPr>
        <w:t xml:space="preserve">ورابعًا، ليست كل ملخصات الانتقال فاقدة للمعلومات. في المدخلات الخام التي فُحصت، كانت الحالات الساعية الدقيقة كلها مختلفة؛ لذلك تحدد أزواج الانتقال الموسومة بدقة، مع الطرفين، الترتيب الكامل. الحفاظ على انتقالات حالة المولد لا يعني الحفاظ على انتقالات المدخلات الخارجية. الأمثلة النظرية لتصادم أعداد المقاطع الزمنية لها سوابق رياضية </w:t>
      </w:r>
      <w:r>
        <w:rPr>
          <w:rFonts w:ascii="Calibri" w:hAnsi="Calibri" w:cs="Calibri"/>
          <w:color w:val="000000"/>
          <w:lang w:val="en-US" w:bidi="ar-AE"/>
          <w:rtl w:val="0"/>
        </w:rPr>
        <w:t>⁦[9]⁩</w:t>
      </w:r>
      <w:r>
        <w:rPr>
          <w:rFonts w:ascii="Arial" w:hAnsi="Arial" w:cs="Arial"/>
          <w:color w:val="000000"/>
          <w:lang w:val="ar-AE" w:bidi="ar-AE"/>
          <w:rtl w:val="1"/>
        </w:rPr>
        <w:t>، ولا تبرر ادعاء جديدًا عامًا هنا.</w:t>
      </w:r>
    </w:p>
    <w:p>
      <w:pPr>
        <w:jc w:val="start"/>
        <w:bidi w:val="1"/>
      </w:pPr>
      <w:r>
        <w:rPr>
          <w:rFonts w:ascii="Arial" w:hAnsi="Arial" w:cs="Arial"/>
          <w:color w:val="000000"/>
          <w:lang w:val="ar-AE" w:bidi="ar-AE"/>
          <w:rtl w:val="1"/>
        </w:rPr>
        <w:t>وخامسًا، فشل خطة تشغيل مثبتة مسبقًا لا يثبت استحالة المسألة الكاملة: في إحدى حالات تبديل الأيام كان تثبيت التشغيل الأصلي مستحيلًا، بينما وُجد تشغيل آخر صالح. لذلك احتُفظ بنتائج تثبيت الخطة منفصلة عن نتائج البحث في جميع الخطط.</w:t>
      </w:r>
    </w:p>
    <w:p>
      <w:pPr>
        <w:jc w:val="start"/>
        <w:bidi w:val="1"/>
      </w:pPr>
      <w:r>
        <w:rPr>
          <w:rFonts w:ascii="Arial" w:hAnsi="Arial" w:cs="Arial"/>
          <w:color w:val="000000"/>
          <w:lang w:val="ar-AE" w:bidi="ar-AE"/>
          <w:rtl w:val="1"/>
        </w:rPr>
        <w:t>وسادسًا، فشلت ست محاولات ثابتة لنقل شهادة قديمة أو حذف معاملات من شهادة كاملة في إثبات الاستحالة للحالات الجديدة. أعاد مدقق مستقل هذه النتيجة السلبية. هذا فشل لتلك المعاملات المحددة، وليس دليلًا على إمكانية التشغيل أو على استحالة إيجاد شهادة أصغر بوسيلة أخرى.</w:t>
      </w:r>
    </w:p>
    <w:p>
      <w:pPr>
        <w:pStyle w:val="Heading1"/>
        <w:jc w:val="start"/>
        <w:bidi w:val="1"/>
      </w:pPr>
      <w:r>
        <w:rPr>
          <w:rFonts w:ascii="Arial" w:hAnsi="Arial" w:cs="Arial"/>
          <w:color w:val="000000"/>
          <w:lang w:val="ar-AE" w:bidi="ar-AE"/>
          <w:rtl w:val="1"/>
        </w:rPr>
        <w:t>ما الإضافة القابلة للنشر؟</w:t>
      </w:r>
    </w:p>
    <w:p>
      <w:pPr>
        <w:jc w:val="start"/>
        <w:bidi w:val="1"/>
      </w:pPr>
      <w:r>
        <w:rPr>
          <w:rFonts w:ascii="Arial" w:hAnsi="Arial" w:cs="Arial"/>
          <w:color w:val="000000"/>
          <w:lang w:val="ar-AE" w:bidi="ar-AE"/>
          <w:rtl w:val="1"/>
        </w:rPr>
        <w:t>الادعاء الأدق هو وجود أزواج منشورة تتطابق في ملخص مدخلات محدد، يشمل ساعة اليوم، لكنها تختلف في إمكان التشغيل تحت السقف نفسه. ترافق ذلك شهادات وملفات تسمح بإعادة الفحص، وحدود لكمية الطاقة الإضافية في الحالات الأربع، وضوابط ونتائج غير محسومة محفوظة. يتيح هذا اختبار ما الذي حذفه الملخص فعلًا، بدل الاكتفاء بعرض اختلاف نتيجة المحاكي.</w:t>
      </w:r>
    </w:p>
    <w:p>
      <w:pPr>
        <w:jc w:val="start"/>
        <w:bidi w:val="1"/>
      </w:pPr>
      <w:r>
        <w:rPr>
          <w:rFonts w:ascii="Arial" w:hAnsi="Arial" w:cs="Arial"/>
          <w:color w:val="000000"/>
          <w:lang w:val="ar-AE" w:bidi="ar-AE"/>
          <w:rtl w:val="1"/>
        </w:rPr>
        <w:t>لرفع العمل إلى مساهمة منهجية أوسع، نحتاج أن يحدد إجراءٌ جديد أي معلومات زمنية تُضاف إلى الملخص، وأن يُختبر على حالات لم تُستخدم في تصميمه، مع تكلفة المعلومات والحساب ومقارنة مباشرة بطرق قائمة. تقليل عدد صفوف شهادة واحدة لا يثبت أنه أصغر قدر من البيانات اللازمة. نتائج الأسبوعين الجديدين توسع الدليل التجريبي الآن، لكنها لا تعوّض وحدها هذه المساهمة المنهجية.</w:t>
      </w:r>
    </w:p>
    <w:p>
      <w:pPr>
        <w:pStyle w:val="Heading1"/>
        <w:jc w:val="start"/>
        <w:bidi w:val="1"/>
      </w:pPr>
      <w:r>
        <w:rPr>
          <w:rFonts w:ascii="Arial" w:hAnsi="Arial" w:cs="Arial"/>
          <w:color w:val="000000"/>
          <w:lang w:val="ar-AE" w:bidi="ar-AE"/>
          <w:rtl w:val="1"/>
        </w:rPr>
        <w:t>حفظ العمل وبيان توفر البيانات</w:t>
      </w:r>
    </w:p>
    <w:p>
      <w:pPr>
        <w:jc w:val="start"/>
        <w:bidi w:val="1"/>
      </w:pPr>
      <w:r>
        <w:rPr>
          <w:rFonts w:ascii="Arial" w:hAnsi="Arial" w:cs="Arial"/>
          <w:color w:val="000000"/>
          <w:lang w:val="ar-AE" w:bidi="ar-AE"/>
          <w:rtl w:val="1"/>
        </w:rPr>
        <w:t xml:space="preserve">مصدر بيانات </w:t>
      </w:r>
      <w:r>
        <w:rPr>
          <w:rFonts w:ascii="Calibri" w:hAnsi="Calibri" w:cs="Calibri"/>
          <w:color w:val="000000"/>
          <w:lang w:val="en-US" w:bidi="ar-AE"/>
          <w:rtl w:val="0"/>
        </w:rPr>
        <w:t>⁦RTS-GMLC⁩</w:t>
      </w:r>
      <w:r>
        <w:rPr>
          <w:rFonts w:ascii="Arial" w:hAnsi="Arial" w:cs="Arial"/>
          <w:color w:val="000000"/>
          <w:lang w:val="ar-AE" w:bidi="ar-AE"/>
          <w:rtl w:val="1"/>
        </w:rPr>
        <w:t xml:space="preserve"> هو وزارة الطاقة الأمريكية </w:t>
      </w:r>
      <w:r>
        <w:rPr>
          <w:rFonts w:ascii="Calibri" w:hAnsi="Calibri" w:cs="Calibri"/>
          <w:color w:val="000000"/>
          <w:lang w:val="en-US" w:bidi="ar-AE"/>
          <w:rtl w:val="0"/>
        </w:rPr>
        <w:t>⁦DOE⁩</w:t>
      </w:r>
      <w:r>
        <w:rPr>
          <w:rFonts w:ascii="Arial" w:hAnsi="Arial" w:cs="Arial"/>
          <w:color w:val="000000"/>
          <w:lang w:val="ar-AE" w:bidi="ar-AE"/>
          <w:rtl w:val="1"/>
        </w:rPr>
        <w:t xml:space="preserve"> والمختبر الوطني للطاقة المتجددة </w:t>
      </w:r>
      <w:r>
        <w:rPr>
          <w:rFonts w:ascii="Calibri" w:hAnsi="Calibri" w:cs="Calibri"/>
          <w:color w:val="000000"/>
          <w:lang w:val="en-US" w:bidi="ar-AE"/>
          <w:rtl w:val="0"/>
        </w:rPr>
        <w:t>⁦NREL⁩</w:t>
      </w:r>
      <w:r>
        <w:rPr>
          <w:rFonts w:ascii="Arial" w:hAnsi="Arial" w:cs="Arial"/>
          <w:color w:val="000000"/>
          <w:lang w:val="ar-AE" w:bidi="ar-AE"/>
          <w:rtl w:val="1"/>
        </w:rPr>
        <w:t xml:space="preserve"> وشركة </w:t>
      </w:r>
      <w:r>
        <w:rPr>
          <w:rFonts w:ascii="Calibri" w:hAnsi="Calibri" w:cs="Calibri"/>
          <w:color w:val="000000"/>
          <w:lang w:val="en-US" w:bidi="ar-AE"/>
          <w:rtl w:val="0"/>
        </w:rPr>
        <w:t>⁦ALLIANCE⁩</w:t>
      </w:r>
      <w:r>
        <w:rPr>
          <w:rFonts w:ascii="Arial" w:hAnsi="Arial" w:cs="Arial"/>
          <w:color w:val="000000"/>
          <w:lang w:val="ar-AE" w:bidi="ar-AE"/>
          <w:rtl w:val="1"/>
        </w:rPr>
        <w:t>. ترافق نسخ البيانات المعاد توزيعها شروط الاستخدام الأصلية ونسبتها إلى مصدرها؛ ولا يعني ذكر الجهات أنها تؤيد هذا البحث.</w:t>
      </w:r>
    </w:p>
    <w:p>
      <w:pPr>
        <w:jc w:val="start"/>
        <w:bidi w:val="1"/>
      </w:pPr>
      <w:r>
        <w:rPr>
          <w:rFonts w:ascii="Arial" w:hAnsi="Arial" w:cs="Arial"/>
          <w:color w:val="000000"/>
          <w:lang w:val="ar-AE" w:bidi="ar-AE"/>
          <w:rtl w:val="1"/>
        </w:rPr>
        <w:t xml:space="preserve">نُشرت الأدلة المكتملة التي تستند إليها هذه المسودة على فرع </w:t>
      </w:r>
      <w:r>
        <w:rPr>
          <w:rFonts w:ascii="Calibri" w:hAnsi="Calibri" w:cs="Calibri"/>
          <w:color w:val="000000"/>
          <w:lang w:val="en-US" w:bidi="ar-AE"/>
          <w:rtl w:val="0"/>
        </w:rPr>
        <w:t>⁦GitHub⁩</w:t>
      </w:r>
      <w:r>
        <w:rPr>
          <w:rFonts w:ascii="Arial" w:hAnsi="Arial" w:cs="Arial"/>
          <w:color w:val="000000"/>
          <w:lang w:val="ar-AE" w:bidi="ar-AE"/>
          <w:rtl w:val="1"/>
        </w:rPr>
        <w:t xml:space="preserve"> التجريبي </w:t>
      </w:r>
      <w:r>
        <w:rPr>
          <w:rFonts w:ascii="Calibri" w:hAnsi="Calibri" w:cs="Calibri"/>
          <w:color w:val="000000"/>
          <w:lang w:val="en-US" w:bidi="ar-AE"/>
          <w:rtl w:val="0"/>
        </w:rPr>
        <w:t>⁦codex/temporal-information⁩</w:t>
      </w:r>
      <w:r>
        <w:rPr>
          <w:rFonts w:ascii="Arial" w:hAnsi="Arial" w:cs="Arial"/>
          <w:color w:val="000000"/>
          <w:lang w:val="ar-AE" w:bidi="ar-AE"/>
          <w:rtl w:val="1"/>
        </w:rPr>
        <w:t xml:space="preserve">، في الالتزام </w:t>
      </w:r>
      <w:r>
        <w:rPr>
          <w:rFonts w:ascii="Calibri" w:hAnsi="Calibri" w:cs="Calibri"/>
          <w:color w:val="000000"/>
          <w:lang w:val="en-US" w:bidi="ar-AE"/>
          <w:rtl w:val="0"/>
        </w:rPr>
        <w:t>⁦520fe5974a4d92892906c42ce51a9d12ef304d3a⁩</w:t>
      </w:r>
      <w:r>
        <w:rPr>
          <w:rFonts w:ascii="Arial" w:hAnsi="Arial" w:cs="Arial"/>
          <w:color w:val="000000"/>
          <w:lang w:val="ar-AE" w:bidi="ar-AE"/>
          <w:rtl w:val="1"/>
        </w:rPr>
        <w:t xml:space="preserve">، وجرى التحقق منه بقراءة مستقلة بعد النشر. يضم مجلد </w:t>
      </w:r>
      <w:r>
        <w:rPr>
          <w:rFonts w:ascii="Calibri" w:hAnsi="Calibri" w:cs="Calibri"/>
          <w:color w:val="000000"/>
          <w:lang w:val="en-US" w:bidi="ar-AE"/>
          <w:rtl w:val="0"/>
        </w:rPr>
        <w:t>⁦Google Drive⁩</w:t>
      </w:r>
      <w:r>
        <w:rPr>
          <w:rFonts w:ascii="Arial" w:hAnsi="Arial" w:cs="Arial"/>
          <w:color w:val="000000"/>
          <w:lang w:val="ar-AE" w:bidi="ar-AE"/>
          <w:rtl w:val="1"/>
        </w:rPr>
        <w:t xml:space="preserve"> الخاص بالبحث حزم التسليم وأدلة التحقق. لكل حزمة قائمة بصمات للملفات؛ ويجري التحقق من الأسماء والأحجام والمجلد وإعداد المشاركة بعد الرفع. بصمة المحتوى البعيد لا توفرها خدمة القراءة، فلا أدعي التحقق منها.</w:t>
      </w:r>
    </w:p>
    <w:p>
      <w:pPr>
        <w:jc w:val="start"/>
        <w:bidi w:val="1"/>
      </w:pPr>
      <w:r>
        <w:rPr>
          <w:rFonts w:ascii="Arial" w:hAnsi="Arial" w:cs="Arial"/>
          <w:color w:val="000000"/>
          <w:lang w:val="ar-AE" w:bidi="ar-AE"/>
          <w:rtl w:val="1"/>
        </w:rPr>
        <w:t xml:space="preserve">سجل </w:t>
      </w:r>
      <w:r>
        <w:rPr>
          <w:rFonts w:ascii="Calibri" w:hAnsi="Calibri" w:cs="Calibri"/>
          <w:color w:val="000000"/>
          <w:lang w:val="en-US" w:bidi="ar-AE"/>
          <w:rtl w:val="0"/>
        </w:rPr>
        <w:t>⁦Zenodo⁩</w:t>
      </w:r>
      <w:r>
        <w:rPr>
          <w:rFonts w:ascii="Arial" w:hAnsi="Arial" w:cs="Arial"/>
          <w:color w:val="000000"/>
          <w:lang w:val="ar-AE" w:bidi="ar-AE"/>
          <w:rtl w:val="1"/>
        </w:rPr>
        <w:t xml:space="preserve"> القائم ذو المعرف </w:t>
      </w:r>
      <w:r>
        <w:rPr>
          <w:rFonts w:ascii="Calibri" w:hAnsi="Calibri" w:cs="Calibri"/>
          <w:color w:val="000000"/>
          <w:lang w:val="en-US" w:bidi="ar-AE"/>
          <w:rtl w:val="0"/>
        </w:rPr>
        <w:t>⁦10.5281/zenodo.22976152⁩</w:t>
      </w:r>
      <w:r>
        <w:rPr>
          <w:rFonts w:ascii="Arial" w:hAnsi="Arial" w:cs="Arial"/>
          <w:color w:val="000000"/>
          <w:lang w:val="ar-AE" w:bidi="ar-AE"/>
          <w:rtl w:val="1"/>
        </w:rPr>
        <w:t xml:space="preserve"> يحفظ إصدار </w:t>
      </w:r>
      <w:r>
        <w:rPr>
          <w:rFonts w:ascii="Calibri" w:hAnsi="Calibri" w:cs="Calibri"/>
          <w:color w:val="000000"/>
          <w:lang w:val="en-US" w:bidi="ar-AE"/>
          <w:rtl w:val="0"/>
        </w:rPr>
        <w:t>⁦V8⁩</w:t>
      </w:r>
      <w:r>
        <w:rPr>
          <w:rFonts w:ascii="Arial" w:hAnsi="Arial" w:cs="Arial"/>
          <w:color w:val="000000"/>
          <w:lang w:val="ar-AE" w:bidi="ar-AE"/>
          <w:rtl w:val="1"/>
        </w:rPr>
        <w:t xml:space="preserve"> المجمد. لا يحفظ جميع نتائج هذه الجلسة الجديدة. لم أستبدل مخطوطتي </w:t>
      </w:r>
      <w:r>
        <w:rPr>
          <w:rFonts w:ascii="Calibri" w:hAnsi="Calibri" w:cs="Calibri"/>
          <w:color w:val="000000"/>
          <w:lang w:val="en-US" w:bidi="ar-AE"/>
          <w:rtl w:val="0"/>
        </w:rPr>
        <w:t>⁦V8⁩</w:t>
      </w:r>
      <w:r>
        <w:rPr>
          <w:rFonts w:ascii="Arial" w:hAnsi="Arial" w:cs="Arial"/>
          <w:color w:val="000000"/>
          <w:lang w:val="ar-AE" w:bidi="ar-AE"/>
          <w:rtl w:val="1"/>
        </w:rPr>
        <w:t xml:space="preserve"> و</w:t>
      </w:r>
      <w:r>
        <w:rPr>
          <w:rFonts w:ascii="Calibri" w:hAnsi="Calibri" w:cs="Calibri"/>
          <w:color w:val="000000"/>
          <w:lang w:val="en-US" w:bidi="ar-AE"/>
          <w:rtl w:val="0"/>
        </w:rPr>
        <w:t>⁦V8R1⁩</w:t>
      </w:r>
      <w:r>
        <w:rPr>
          <w:rFonts w:ascii="Arial" w:hAnsi="Arial" w:cs="Arial"/>
          <w:color w:val="000000"/>
          <w:lang w:val="ar-AE" w:bidi="ar-AE"/>
          <w:rtl w:val="1"/>
        </w:rPr>
        <w:t xml:space="preserve"> أو الإصدارات المنشورة، ولم أرفع نصوص المقالات المدفوعة إلى المستودع العام. يجب أن يوضح بيان توفر البيانات في المخطوطة النهائية هذا الفصل بين الإصدار المجمد والعمل التجريبي.</w:t>
      </w:r>
    </w:p>
    <w:p>
      <w:pPr>
        <w:jc w:val="start"/>
        <w:bidi w:val="1"/>
      </w:pPr>
      <w:hyperlink r:id="rId12">
        <w:r>
          <w:rPr>
            <w:color w:val="163D64"/>
            <w:u w:val="single"/>
            <w:rFonts w:ascii="Arial" w:hAnsi="Arial" w:cs="Arial"/>
            <w:rtl w:val="1"/>
          </w:rPr>
          <w:t>فرع GitHub التجريبي</w:t>
        </w:r>
      </w:hyperlink>
    </w:p>
    <w:p>
      <w:pPr>
        <w:jc w:val="start"/>
        <w:bidi w:val="1"/>
      </w:pPr>
      <w:hyperlink r:id="rId13">
        <w:r>
          <w:rPr>
            <w:color w:val="163D64"/>
            <w:u w:val="single"/>
            <w:rFonts w:ascii="Arial" w:hAnsi="Arial" w:cs="Arial"/>
            <w:rtl w:val="1"/>
          </w:rPr>
          <w:t>مجلد النتائج والعمل القابل لإعادة الفحص على Google Drive</w:t>
        </w:r>
      </w:hyperlink>
    </w:p>
    <w:p>
      <w:pPr>
        <w:pStyle w:val="Heading1"/>
        <w:jc w:val="start"/>
        <w:bidi w:val="1"/>
      </w:pPr>
      <w:r>
        <w:rPr>
          <w:rFonts w:ascii="Arial" w:hAnsi="Arial" w:cs="Arial"/>
          <w:color w:val="000000"/>
          <w:lang w:val="ar-AE" w:bidi="ar-AE"/>
          <w:rtl w:val="1"/>
        </w:rPr>
        <w:t>المراجع الأساسية</w:t>
      </w:r>
    </w:p>
    <w:p>
      <w:pPr>
        <w:spacing w:after="160"/>
        <w:jc w:val="start"/>
        <w:bidi w:val="0"/>
      </w:pPr>
      <w:r>
        <w:rPr>
          <w:rFonts w:ascii="Calibri" w:hAnsi="Calibri" w:cs="Calibri"/>
          <w:color w:val="000000"/>
          <w:sz w:val="21"/>
          <w:lang w:val="en-US" w:bidi="ar-AE"/>
          <w:rtl w:val="0"/>
        </w:rPr>
        <w:t xml:space="preserve">[1] B. Bahl, T. Söhler, M. Hennen and A. Bardow. Typical Periods for Two-Stage Synthesis by Time-Series Aggregation with Bounded Error in Objective Function. Frontiers in Energy Research 5, article 35, 2018. </w:t>
      </w:r>
      <w:hyperlink r:id="rId14">
        <w:r>
          <w:rPr>
            <w:color w:val="163D64"/>
            <w:u w:val="single"/>
            <w:rFonts w:ascii="Calibri" w:hAnsi="Calibri" w:cs="Arial"/>
            <w:rtl w:val="0"/>
          </w:rPr>
          <w:t>doi.org/10.3389/fenrg.2017.00035</w:t>
        </w:r>
      </w:hyperlink>
    </w:p>
    <w:p>
      <w:pPr>
        <w:spacing w:after="160"/>
        <w:jc w:val="start"/>
        <w:bidi w:val="0"/>
      </w:pPr>
      <w:r>
        <w:rPr>
          <w:rFonts w:ascii="Calibri" w:hAnsi="Calibri" w:cs="Calibri"/>
          <w:color w:val="000000"/>
          <w:sz w:val="21"/>
          <w:lang w:val="en-US" w:bidi="ar-AE"/>
          <w:rtl w:val="0"/>
        </w:rPr>
        <w:t xml:space="preserve">[2] N. Baumgärtner, B. Bahl, M. Hennen and A. Bardow. RiSES3: Rigorous Synthesis of Energy Supply and Storage Systems via time-series relaxation and aggregation. Computers and Chemical Engineering 127, 127–139, 2019. </w:t>
      </w:r>
      <w:hyperlink r:id="rId15">
        <w:r>
          <w:rPr>
            <w:color w:val="163D64"/>
            <w:u w:val="single"/>
            <w:rFonts w:ascii="Calibri" w:hAnsi="Calibri" w:cs="Arial"/>
            <w:rtl w:val="0"/>
          </w:rPr>
          <w:t>doi.org/10.1016/j.compchemeng.2019.02.006</w:t>
        </w:r>
      </w:hyperlink>
    </w:p>
    <w:p>
      <w:pPr>
        <w:spacing w:after="160"/>
        <w:jc w:val="start"/>
        <w:bidi w:val="0"/>
      </w:pPr>
      <w:r>
        <w:rPr>
          <w:rFonts w:ascii="Calibri" w:hAnsi="Calibri" w:cs="Calibri"/>
          <w:color w:val="000000"/>
          <w:sz w:val="21"/>
          <w:lang w:val="en-US" w:bidi="ar-AE"/>
          <w:rtl w:val="0"/>
        </w:rPr>
        <w:t xml:space="preserve">[3] F. C. A. Auer, R. Gaugl, T. Klatzer, D. A. Tejada-Arango and S. Wogrin. Connecting Representative Periods in Energy System Optimization Models using Markov Transition Matrices. arXiv:2510.18555v2, revised 15 July 2026. Preprint. </w:t>
      </w:r>
      <w:hyperlink r:id="rId16">
        <w:r>
          <w:rPr>
            <w:color w:val="163D64"/>
            <w:u w:val="single"/>
            <w:rFonts w:ascii="Calibri" w:hAnsi="Calibri" w:cs="Arial"/>
            <w:rtl w:val="0"/>
          </w:rPr>
          <w:t>arxiv.org/abs/2510.18555v2</w:t>
        </w:r>
      </w:hyperlink>
    </w:p>
    <w:p>
      <w:pPr>
        <w:spacing w:after="160"/>
        <w:jc w:val="start"/>
        <w:bidi w:val="0"/>
      </w:pPr>
      <w:r>
        <w:rPr>
          <w:rFonts w:ascii="Calibri" w:hAnsi="Calibri" w:cs="Calibri"/>
          <w:color w:val="000000"/>
          <w:sz w:val="21"/>
          <w:lang w:val="en-US" w:bidi="ar-AE"/>
          <w:rtl w:val="0"/>
        </w:rPr>
        <w:t xml:space="preserve">[4] J. H. Merrick, J. E. T. Bistline and G. J. Blanford. On representation of energy storage in electricity planning models. arXiv:2105.03707v2, 31 May 2021. Author preprint. </w:t>
      </w:r>
      <w:hyperlink r:id="rId17">
        <w:r>
          <w:rPr>
            <w:color w:val="163D64"/>
            <w:u w:val="single"/>
            <w:rFonts w:ascii="Calibri" w:hAnsi="Calibri" w:cs="Arial"/>
            <w:rtl w:val="0"/>
          </w:rPr>
          <w:t>arxiv.org/abs/2105.03707v2</w:t>
        </w:r>
      </w:hyperlink>
    </w:p>
    <w:p>
      <w:pPr>
        <w:spacing w:after="160"/>
        <w:jc w:val="start"/>
        <w:bidi w:val="0"/>
      </w:pPr>
      <w:r>
        <w:rPr>
          <w:rFonts w:ascii="Calibri" w:hAnsi="Calibri" w:cs="Calibri"/>
          <w:color w:val="000000"/>
          <w:sz w:val="21"/>
          <w:lang w:val="en-US" w:bidi="ar-AE"/>
          <w:rtl w:val="0"/>
        </w:rPr>
        <w:t xml:space="preserve">[5] S. Gonzato, K. Bruninx and E. Delarue. Long term storage in generation expansion planning models with a reduced temporal scope. Applied Energy 298, 117168, 2021. </w:t>
      </w:r>
      <w:hyperlink r:id="rId18">
        <w:r>
          <w:rPr>
            <w:color w:val="163D64"/>
            <w:u w:val="single"/>
            <w:rFonts w:ascii="Calibri" w:hAnsi="Calibri" w:cs="Arial"/>
            <w:rtl w:val="0"/>
          </w:rPr>
          <w:t>doi.org/10.1016/j.apenergy.2021.117168</w:t>
        </w:r>
      </w:hyperlink>
    </w:p>
    <w:p>
      <w:pPr>
        <w:spacing w:after="160"/>
        <w:jc w:val="start"/>
        <w:bidi w:val="0"/>
      </w:pPr>
      <w:r>
        <w:rPr>
          <w:rFonts w:ascii="Calibri" w:hAnsi="Calibri" w:cs="Calibri"/>
          <w:color w:val="000000"/>
          <w:sz w:val="21"/>
          <w:lang w:val="en-US" w:bidi="ar-AE"/>
          <w:rtl w:val="0"/>
        </w:rPr>
        <w:t xml:space="preserve">[6] C. Barrows et al. The IEEE Reliability Test System: A Proposed 2019 Update. IEEE Transactions on Power Systems 35(1), 119–127, 2020. </w:t>
      </w:r>
      <w:hyperlink r:id="rId19">
        <w:r>
          <w:rPr>
            <w:color w:val="163D64"/>
            <w:u w:val="single"/>
            <w:rFonts w:ascii="Calibri" w:hAnsi="Calibri" w:cs="Arial"/>
            <w:rtl w:val="0"/>
          </w:rPr>
          <w:t>doi.org/10.1109/TPWRS.2019.2925557</w:t>
        </w:r>
      </w:hyperlink>
    </w:p>
    <w:p>
      <w:pPr>
        <w:spacing w:after="160"/>
        <w:jc w:val="start"/>
        <w:bidi w:val="0"/>
      </w:pPr>
      <w:r>
        <w:rPr>
          <w:rFonts w:ascii="Calibri" w:hAnsi="Calibri" w:cs="Calibri"/>
          <w:color w:val="000000"/>
          <w:sz w:val="21"/>
          <w:lang w:val="en-US" w:bidi="ar-AE"/>
          <w:rtl w:val="0"/>
        </w:rPr>
        <w:t xml:space="preserve">[7] A. Neumaier and O. Shcherbina. Safe bounds in linear and mixed-integer linear programming. Mathematical Programming 99, 283–296, 2004. </w:t>
      </w:r>
      <w:hyperlink r:id="rId20">
        <w:r>
          <w:rPr>
            <w:color w:val="163D64"/>
            <w:u w:val="single"/>
            <w:rFonts w:ascii="Calibri" w:hAnsi="Calibri" w:cs="Arial"/>
            <w:rtl w:val="0"/>
          </w:rPr>
          <w:t>doi.org/10.1007/s10107-003-0433-3</w:t>
        </w:r>
      </w:hyperlink>
    </w:p>
    <w:p>
      <w:pPr>
        <w:spacing w:after="160"/>
        <w:jc w:val="start"/>
        <w:bidi w:val="0"/>
      </w:pPr>
      <w:r>
        <w:rPr>
          <w:rFonts w:ascii="Calibri" w:hAnsi="Calibri" w:cs="Calibri"/>
          <w:color w:val="000000"/>
          <w:sz w:val="21"/>
          <w:lang w:val="en-US" w:bidi="ar-AE"/>
          <w:rtl w:val="0"/>
        </w:rPr>
        <w:t xml:space="preserve">[8] K. K. H. Cheung, A. Gleixner and D. E. Steffy. Verifying Integer Programming Results. IPCO 2017, LNCS 10328, 148–160. </w:t>
      </w:r>
      <w:hyperlink r:id="rId21">
        <w:r>
          <w:rPr>
            <w:color w:val="163D64"/>
            <w:u w:val="single"/>
            <w:rFonts w:ascii="Calibri" w:hAnsi="Calibri" w:cs="Arial"/>
            <w:rtl w:val="0"/>
          </w:rPr>
          <w:t>doi.org/10.1007/978-3-319-59250-3_13</w:t>
        </w:r>
      </w:hyperlink>
    </w:p>
    <w:p>
      <w:pPr>
        <w:spacing w:after="160"/>
        <w:jc w:val="start"/>
        <w:bidi w:val="0"/>
      </w:pPr>
      <w:r>
        <w:rPr>
          <w:rFonts w:ascii="Calibri" w:hAnsi="Calibri" w:cs="Calibri"/>
          <w:color w:val="000000"/>
          <w:sz w:val="21"/>
          <w:lang w:val="en-US" w:bidi="ar-AE"/>
          <w:rtl w:val="0"/>
        </w:rPr>
        <w:t xml:space="preserve">[9] A. Saarela. Separating the Words of a Language by Counting Factors. Fundamenta Informaticae 180(4), 375–393, 2021. </w:t>
      </w:r>
      <w:hyperlink r:id="rId22">
        <w:r>
          <w:rPr>
            <w:color w:val="163D64"/>
            <w:u w:val="single"/>
            <w:rFonts w:ascii="Calibri" w:hAnsi="Calibri" w:cs="Arial"/>
            <w:rtl w:val="0"/>
          </w:rPr>
          <w:t>doi.org/10.3233/FI-2021-2047</w:t>
        </w:r>
      </w:hyperlink>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bidi w:val="1"/>
    </w:pPr>
    <w:r>
      <w:rPr>
        <w:rFonts w:ascii="Arial" w:hAnsi="Arial" w:cs="Arial"/>
        <w:color w:val="000000"/>
        <w:sz w:val="18"/>
        <w:lang w:val="ar-AE" w:bidi="ar-AE"/>
        <w:rtl w:val="1"/>
        <w:szCs w:val="18"/>
      </w:rPr>
      <w:t>مراجعة علمية — مسودة بحث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color w:val="000000"/>
      <w:sz w:val="24"/>
      <w:szCs w:val="24"/>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71" w:lineRule="auto"/>
      <w:outlineLvl w:val="0"/>
    </w:pPr>
    <w:rPr>
      <w:rFonts w:asciiTheme="majorHAnsi" w:eastAsiaTheme="majorEastAsia" w:hAnsiTheme="majorHAnsi" w:cstheme="majorBidi" w:ascii="Arial" w:hAnsi="Arial"/>
      <w:b/>
      <w:bCs/>
      <w:color w:val="000000"/>
      <w:sz w:val="28"/>
      <w:szCs w:val="28"/>
      <w:szCs w:val="28"/>
      <w:bCs w:val="1"/>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1" w:lineRule="auto"/>
      <w:contextualSpacing/>
    </w:pPr>
    <w:rPr>
      <w:rFonts w:asciiTheme="majorHAnsi" w:eastAsiaTheme="majorEastAsia" w:hAnsiTheme="majorHAnsi" w:cstheme="majorBidi" w:ascii="Arial" w:hAnsi="Arial"/>
      <w:color w:val="000000"/>
      <w:spacing w:val="5"/>
      <w:kern w:val="28"/>
      <w:sz w:val="42"/>
      <w:szCs w:val="52"/>
      <w:szCs w:val="42"/>
      <w:b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71" w:lineRule="auto" w:after="140"/>
    </w:pPr>
    <w:rPr>
      <w:rFonts w:asciiTheme="majorHAnsi" w:eastAsiaTheme="majorEastAsia" w:hAnsiTheme="majorHAnsi" w:cstheme="majorBidi" w:ascii="Arial" w:hAnsi="Arial"/>
      <w:i/>
      <w:iCs/>
      <w:color w:val="000000"/>
      <w:spacing w:val="15"/>
      <w:sz w:val="24"/>
      <w:szCs w:val="24"/>
      <w:szCs w:val="24"/>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40"/>
    </w:pPr>
    <w:rPr>
      <w:rFonts w:ascii="Arial" w:hAnsi="Arial"/>
      <w:b w:val="0"/>
      <w:bCs/>
      <w:color w:val="000000"/>
      <w:sz w:val="21"/>
      <w:szCs w:val="18"/>
      <w:szCs w:val="21"/>
      <w:b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haikhamalkawi-ux/Decision-Stability-Certificates-for-Power-System-Operating-States-/tree/codex/temporal-information" TargetMode="External"/><Relationship Id="rId13" Type="http://schemas.openxmlformats.org/officeDocument/2006/relationships/hyperlink" Target="https://drive.google.com/drive/folders/1cwdmcpJCPQC5sTdopQtQWi4sJpFdAChw" TargetMode="External"/><Relationship Id="rId14" Type="http://schemas.openxmlformats.org/officeDocument/2006/relationships/hyperlink" Target="https://doi.org/10.3389/fenrg.2017.00035" TargetMode="External"/><Relationship Id="rId15" Type="http://schemas.openxmlformats.org/officeDocument/2006/relationships/hyperlink" Target="https://doi.org/10.1016/j.compchemeng.2019.02.006" TargetMode="External"/><Relationship Id="rId16" Type="http://schemas.openxmlformats.org/officeDocument/2006/relationships/hyperlink" Target="https://arxiv.org/abs/2510.18555v2" TargetMode="External"/><Relationship Id="rId17" Type="http://schemas.openxmlformats.org/officeDocument/2006/relationships/hyperlink" Target="https://arxiv.org/abs/2105.03707v2" TargetMode="External"/><Relationship Id="rId18" Type="http://schemas.openxmlformats.org/officeDocument/2006/relationships/hyperlink" Target="https://doi.org/10.1016/j.apenergy.2021.117168" TargetMode="External"/><Relationship Id="rId19" Type="http://schemas.openxmlformats.org/officeDocument/2006/relationships/hyperlink" Target="https://doi.org/10.1109/TPWRS.2019.2925557" TargetMode="External"/><Relationship Id="rId20" Type="http://schemas.openxmlformats.org/officeDocument/2006/relationships/hyperlink" Target="https://doi.org/10.1007/s10107-003-0433-3" TargetMode="External"/><Relationship Id="rId21" Type="http://schemas.openxmlformats.org/officeDocument/2006/relationships/hyperlink" Target="https://doi.org/10.1007/978-3-319-59250-3_13" TargetMode="External"/><Relationship Id="rId22" Type="http://schemas.openxmlformats.org/officeDocument/2006/relationships/hyperlink" Target="https://doi.org/10.3233/FI-2021-2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 علمي بشأن تقوية البحث</dc:title>
  <dc:subject>نتائج موثقة وحدود الاستنتاج وخطوة النشر التالية</dc:subject>
  <dc:creator>إعداد لمراجعة غسان ملكاوي وأحمد عبدالعزيز السيد</dc:creator>
  <cp:keywords/>
  <dc:description>مسودة مرحلية: تستند إلى النتائج التي اكتملت مراجعتها المستقلة حتى 27 سبتمبر 2026، الساعة 00:43 بالتوقيت العالمي. تشمل المقارنات المكتملة لأسبوعين جديدين؛ متابعة حدود الطاقة لهما لم تدخل هذه النسخة.</dc:description>
  <cp:lastModifiedBy/>
  <cp:revision>1</cp:revision>
  <dcterms:created xsi:type="dcterms:W3CDTF">2013-12-23T23:15:00Z</dcterms:created>
  <dcterms:modified xsi:type="dcterms:W3CDTF">2013-12-23T23:15:00Z</dcterms:modified>
  <cp:category/>
</cp:coreProperties>
</file>