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8.0"/>
          <w:vertAlign w:val="baseline"/>
        </w:rPr>
        <w:t xml:space="preserve">Project Design Phase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8.0"/>
          <w:vertAlign w:val="baseline"/>
        </w:rPr>
        <w:t xml:space="preserve">Proposed Solution Template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tbl>
      <w:tblPr>
        <w:tblStyle w:val="7823948"/>
        <w:tblW w:w="9618" w:type="dxa"/>
        <w:tblLook w:val="00000600"/>
        <w:tblInd w:w="14" w:type="dxa"/>
        <w:tblLayout w:type="fixed"/>
      </w:tblPr>
      <w:tblGrid>
        <w:gridCol w:w="3227"/>
        <w:gridCol w:w="6391"/>
      </w:tblGrid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Date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27 June 2025</w:t>
            </w:r>
          </w:p>
        </w:tc>
        <w:trPr>
          <w:trHeight w:hRule="exact" w:val="460"/>
        </w:trPr>
      </w:tr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Team ID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LTVIP2025TMID59193</w:t>
            </w:r>
          </w:p>
        </w:tc>
        <w:trPr>
          <w:trHeight w:hRule="exact" w:val="440"/>
        </w:trPr>
      </w:tr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Project Name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SmartSDLC – AI-Enhanced Software Development Lifecycle</w:t>
            </w:r>
          </w:p>
        </w:tc>
        <w:trPr>
          <w:trHeight w:hRule="exact" w:val="420"/>
        </w:trPr>
      </w:tr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Maximum Marks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2 Marks</w:t>
            </w:r>
          </w:p>
        </w:tc>
        <w:trPr>
          <w:trHeight w:hRule="exact" w:val="360"/>
        </w:trPr>
      </w:tr>
    </w:tbl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Proposed Solution Template: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sz w:val="22.0"/>
          <w:vertAlign w:val="baseline"/>
        </w:rPr>
        <w:t xml:space="preserve">Project team shall fill the following information in the proposed solution template.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tbl>
      <w:tblPr>
        <w:tblStyle w:val="6377925"/>
        <w:tblW w:w="9240" w:type="dxa"/>
        <w:tblLook w:val="00000600"/>
        <w:tblInd w:w="45" w:type="dxa"/>
        <w:tblLayout w:type="fixed"/>
      </w:tblPr>
      <w:tblGrid>
        <w:gridCol w:w="870"/>
        <w:gridCol w:w="3630"/>
        <w:gridCol w:w="4740"/>
      </w:tblGrid>
      <w:tr>
        <w:tc>
          <w:tcPr>
            <w:tcW w:w="87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S.No.</w:t>
            </w:r>
          </w:p>
        </w:tc>
        <w:tc>
          <w:tcPr>
            <w:tcW w:w="363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Parameter</w:t>
            </w:r>
          </w:p>
        </w:tc>
        <w:tc>
          <w:tcPr>
            <w:tcW w:w="47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true"/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Description</w:t>
            </w:r>
          </w:p>
        </w:tc>
        <w:trPr>
          <w:trHeight w:hRule="exact" w:val="540"/>
        </w:trPr>
      </w:tr>
      <w:tr>
        <w:tc>
          <w:tcPr>
            <w:tcW w:w="87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2.0"/>
              </w:rPr>
              <w:numPr>
                <w:ilvl w:val="0"/>
                <w:numId w:val="97111962"/>
              </w:numPr>
              <w:widowControl w:val="1"/>
              <w:ind w:left="720" w:hanging="360"/>
            </w:pPr>
          </w:p>
        </w:tc>
        <w:tc>
          <w:tcPr>
            <w:tcW w:w="363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222222"/>
                <w:sz w:val="22.0"/>
                <w:vertAlign w:val="baseline"/>
              </w:rPr>
              <w:t xml:space="preserve">Problem Statement (Problem to be solved)</w:t>
            </w:r>
          </w:p>
        </w:tc>
        <w:tc>
          <w:tcPr>
            <w:tcW w:w="47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Manual SDLC processes slow down development and reduce software quality. AI integration is lacking in traditional workflows.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320"/>
        </w:trPr>
      </w:tr>
      <w:tr>
        <w:tc>
          <w:tcPr>
            <w:tcW w:w="87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2.0"/>
              </w:rPr>
              <w:numPr>
                <w:ilvl w:val="0"/>
                <w:numId w:val="49072373"/>
              </w:numPr>
              <w:widowControl w:val="1"/>
              <w:ind w:left="720" w:hanging="360"/>
            </w:pPr>
          </w:p>
        </w:tc>
        <w:tc>
          <w:tcPr>
            <w:tcW w:w="363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222222"/>
                <w:sz w:val="22.0"/>
                <w:vertAlign w:val="baseline"/>
              </w:rPr>
              <w:t xml:space="preserve">Idea / Solution description</w:t>
            </w:r>
          </w:p>
        </w:tc>
        <w:tc>
          <w:tcPr>
            <w:tcW w:w="47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SmartSDLC automates requirement classification, bug fixing, and code generation using AI. It streamlines the development lifecycle.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380"/>
        </w:trPr>
      </w:tr>
      <w:tr>
        <w:tc>
          <w:tcPr>
            <w:tcW w:w="87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2.0"/>
              </w:rPr>
              <w:numPr>
                <w:ilvl w:val="0"/>
                <w:numId w:val="24729797"/>
              </w:numPr>
              <w:widowControl w:val="1"/>
              <w:ind w:left="720" w:hanging="360"/>
            </w:pPr>
          </w:p>
        </w:tc>
        <w:tc>
          <w:tcPr>
            <w:tcW w:w="363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222222"/>
                <w:sz w:val="22.0"/>
                <w:vertAlign w:val="baseline"/>
              </w:rPr>
              <w:t xml:space="preserve">Novelty / Uniqueness </w:t>
            </w:r>
          </w:p>
        </w:tc>
        <w:tc>
          <w:tcPr>
            <w:tcW w:w="47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Combines AI with SDLC in a modular, real-time platform. Accepts natural language input and integrates with CI tools.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040"/>
        </w:trPr>
      </w:tr>
      <w:tr>
        <w:tc>
          <w:tcPr>
            <w:tcW w:w="87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2.0"/>
              </w:rPr>
              <w:numPr>
                <w:ilvl w:val="0"/>
                <w:numId w:val="95452128"/>
              </w:numPr>
              <w:widowControl w:val="1"/>
              <w:ind w:left="720" w:hanging="360"/>
            </w:pPr>
          </w:p>
        </w:tc>
        <w:tc>
          <w:tcPr>
            <w:tcW w:w="363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222222"/>
                <w:sz w:val="22.0"/>
                <w:vertAlign w:val="baseline"/>
              </w:rPr>
              <w:t xml:space="preserve">Social Impact / Customer Satisfaction</w:t>
            </w:r>
          </w:p>
        </w:tc>
        <w:tc>
          <w:tcPr>
            <w:tcW w:w="47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false"/>
                <w:rFonts w:ascii="Roboto" w:eastAsia="Roboto" w:hAnsi="Roboto" w:cs="Roboto"/>
                <w:i w:val="false"/>
                <w:color w:val="000000"/>
                <w:spacing w:val="0"/>
                <w:sz w:val="22.0"/>
                <w:shd w:fill="auto" w:val="clear" w:color="auto"/>
                <w:vertAlign w:val="baseline"/>
              </w:rPr>
              <w:t xml:space="preserve">Speeds up software delivery and improves developer productivity. Enhances user satisfaction through quality and reliability.</w:t>
            </w:r>
          </w:p>
        </w:tc>
        <w:trPr>
          <w:trHeight w:hRule="exact" w:val="1280"/>
        </w:trPr>
      </w:tr>
      <w:tr>
        <w:tc>
          <w:tcPr>
            <w:tcW w:w="87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2.0"/>
              </w:rPr>
              <w:numPr>
                <w:ilvl w:val="0"/>
                <w:numId w:val="38038552"/>
              </w:numPr>
              <w:widowControl w:val="1"/>
              <w:ind w:left="720" w:hanging="360"/>
            </w:pPr>
          </w:p>
        </w:tc>
        <w:tc>
          <w:tcPr>
            <w:tcW w:w="363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222222"/>
                <w:sz w:val="22.0"/>
                <w:vertAlign w:val="baseline"/>
              </w:rPr>
              <w:t xml:space="preserve">Business Model (Revenue Model)</w:t>
            </w:r>
          </w:p>
        </w:tc>
        <w:tc>
          <w:tcPr>
            <w:tcW w:w="47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SaaS-based model with tiered plans and API access. Offers subscription for individuals, teams, and enterprises.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000"/>
        </w:trPr>
      </w:tr>
      <w:tr>
        <w:tc>
          <w:tcPr>
            <w:tcW w:w="87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2.0"/>
              </w:rPr>
              <w:numPr>
                <w:ilvl w:val="0"/>
                <w:numId w:val="60043466"/>
              </w:numPr>
              <w:widowControl w:val="1"/>
              <w:ind w:left="720" w:hanging="360"/>
            </w:pPr>
          </w:p>
        </w:tc>
        <w:tc>
          <w:tcPr>
            <w:tcW w:w="363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222222"/>
                <w:sz w:val="22.0"/>
                <w:vertAlign w:val="baseline"/>
              </w:rPr>
              <w:t xml:space="preserve">Scalability of the Solution</w:t>
            </w:r>
          </w:p>
        </w:tc>
        <w:tc>
          <w:tcPr>
            <w:tcW w:w="47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Easily scalable across domains, teams, and project sizes. Supports cloud deployment and CI/CD integration.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hRule="exact" w:val="1020"/>
        </w:trPr>
      </w:tr>
    </w:tbl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e33ad872-de6e-c21a-0131-a1597ad7aac4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5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6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4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5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3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6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2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num w:numId="97111962">
    <w:abstractNumId w:val="1"/>
  </w:num>
  <w:num w:numId="38038552">
    <w:abstractNumId w:val="2"/>
  </w:num>
  <w:num w:numId="60043466">
    <w:abstractNumId w:val="3"/>
  </w:num>
  <w:num w:numId="95452128">
    <w:abstractNumId w:val="4"/>
  </w:num>
  <w:num w:numId="24729797">
    <w:abstractNumId w:val="5"/>
  </w:num>
  <w:num w:numId="49072373">
    <w:abstractNumId w:val="6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7823948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  <w:style w:type="table" w:styleId="6377925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e33ad872-de6e-c21a-0131-a1597ad7aac4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