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Project Design Phase-II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Solution Requirements (Functional &amp; Non-functional)</w:t>
      </w:r>
    </w:p>
    <w:tbl>
      <w:tblPr>
        <w:tblStyle w:val="1544596"/>
        <w:tblW w:w="9255" w:type="dxa"/>
        <w:tblLook w:val="00000600"/>
        <w:tblInd w:w="-75" w:type="dxa"/>
        <w:tblLayout w:type="fixed"/>
      </w:tblPr>
      <w:tblGrid>
        <w:gridCol w:w="4560"/>
        <w:gridCol w:w="4694"/>
      </w:tblGrid>
      <w:tr>
        <w:tc>
          <w:tcPr>
            <w:tcW w:w="456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Date</w:t>
            </w:r>
          </w:p>
        </w:tc>
        <w:tc>
          <w:tcPr>
            <w:tcW w:w="4694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27 June 2025</w:t>
            </w:r>
          </w:p>
        </w:tc>
        <w:trPr>
          <w:trHeight w:hRule="exact" w:val="340"/>
        </w:trPr>
      </w:tr>
      <w:tr>
        <w:tc>
          <w:tcPr>
            <w:tcW w:w="456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Team ID</w:t>
            </w:r>
          </w:p>
        </w:tc>
        <w:tc>
          <w:tcPr>
            <w:tcW w:w="4694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18.0"/>
                <w:vertAlign w:val="baseline"/>
              </w:rPr>
              <w:t xml:space="preserve">LTVIP2025TMID59193</w:t>
            </w:r>
          </w:p>
        </w:tc>
        <w:trPr>
          <w:trHeight w:hRule="exact" w:val="320"/>
        </w:trPr>
      </w:tr>
      <w:tr>
        <w:tc>
          <w:tcPr>
            <w:tcW w:w="456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Project Name</w:t>
            </w:r>
          </w:p>
        </w:tc>
        <w:tc>
          <w:tcPr>
            <w:tcW w:w="4694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SmartSDLC – AI-Enhanced Software Development Lifecycle</w:t>
            </w:r>
          </w:p>
        </w:tc>
        <w:trPr>
          <w:trHeight w:hRule="exact" w:val="540"/>
        </w:trPr>
      </w:tr>
      <w:tr>
        <w:tc>
          <w:tcPr>
            <w:tcW w:w="456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Maximum Marks</w:t>
            </w:r>
          </w:p>
        </w:tc>
        <w:tc>
          <w:tcPr>
            <w:tcW w:w="4694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4 Marks</w:t>
            </w:r>
          </w:p>
        </w:tc>
        <w:trPr>
          <w:trHeight w:hRule="exact" w:val="420"/>
        </w:trPr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Functional Requirements: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sz w:val="22.0"/>
          <w:vertAlign w:val="baseline"/>
        </w:rPr>
        <w:t xml:space="preserve">Following are the functional requirements of the proposed solution.</w:t>
      </w:r>
    </w:p>
    <w:tbl>
      <w:tblPr>
        <w:tblStyle w:val="6988453"/>
        <w:tblW w:w="9720" w:type="dxa"/>
        <w:tblLook w:val="00000600"/>
        <w:tblInd w:w="0" w:type="dxa"/>
        <w:tblLayout w:type="fixed"/>
      </w:tblPr>
      <w:tblGrid>
        <w:gridCol w:w="706"/>
        <w:gridCol w:w="3060"/>
        <w:gridCol w:w="5954"/>
      </w:tblGrid>
      <w:tr>
        <w:tc>
          <w:tcPr>
            <w:tcW w:w="706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FR No.</w:t>
            </w:r>
          </w:p>
        </w:tc>
        <w:tc>
          <w:tcPr>
            <w:tcW w:w="306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Functional Requirement (Epic)</w:t>
            </w:r>
          </w:p>
        </w:tc>
        <w:tc>
          <w:tcPr>
            <w:tcW w:w="5954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Sub Requirement (Story / Sub-Task)</w:t>
            </w:r>
          </w:p>
        </w:tc>
        <w:trPr/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FR-1</w:t>
            </w: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Requirement Classification</w:t>
            </w: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Upload requirements in plain text format</w:t>
            </w:r>
          </w:p>
        </w:tc>
        <w:trPr/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Automatic classification into Functional/Non-Functional/UI</w:t>
            </w:r>
          </w:p>
        </w:tc>
        <w:trPr/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FR-2</w:t>
            </w: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Bug Fixing AI</w:t>
            </w: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Paste buggy code to receive AI-suggested fixes</w:t>
            </w:r>
          </w:p>
        </w:tc>
        <w:trPr/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Show side-by-side comparison of original and fixed code</w:t>
            </w:r>
          </w:p>
        </w:tc>
        <w:trPr/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FR-3</w:t>
            </w: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Code Generation</w:t>
            </w: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Input natural language requirement for code output</w:t>
            </w:r>
          </w:p>
        </w:tc>
        <w:trPr/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Enable download and copy of generated code</w:t>
            </w:r>
          </w:p>
        </w:tc>
        <w:trPr>
          <w:trHeight w:val="960"/>
        </w:trPr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FR-4</w:t>
            </w: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Dashboard &amp; Deployment</w:t>
            </w: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Provide Streamlit-based dashboard UI</w:t>
            </w:r>
          </w:p>
        </w:tc>
        <w:trPr>
          <w:trHeight w:val="1200"/>
        </w:trPr>
      </w:tr>
      <w:tr>
        <w:tc>
          <w:tcPr>
            <w:tcW w:w="70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30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595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Generate and share ngrok link for public access</w:t>
            </w:r>
          </w:p>
        </w:tc>
        <w:trPr>
          <w:trHeight w:val="1140"/>
        </w:trPr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Non-functional Requirements: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rFonts w:ascii=" sans-serif" w:eastAsia=" sans-serif" w:hAnsi=" sans-serif" w:cs=" sans-serif"/>
          <w:color w:val="000000"/>
          <w:sz w:val="22.0"/>
          <w:vertAlign w:val="baseline"/>
        </w:rPr>
        <w:t xml:space="preserve">Following are the non-functional requirements of the proposed solution.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tbl>
      <w:tblPr>
        <w:tblStyle w:val="2398214"/>
        <w:tblW w:w="9451" w:type="dxa"/>
        <w:tblLook w:val="00000600"/>
        <w:tblInd w:w="0" w:type="dxa"/>
        <w:tblLayout w:type="fixed"/>
      </w:tblPr>
      <w:tblGrid>
        <w:gridCol w:w="870"/>
        <w:gridCol w:w="2236"/>
        <w:gridCol w:w="6345"/>
      </w:tblGrid>
      <w:tr>
        <w:tc>
          <w:tcPr>
            <w:tcW w:w="87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FR No.</w:t>
            </w:r>
          </w:p>
        </w:tc>
        <w:tc>
          <w:tcPr>
            <w:tcW w:w="2236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Non-Functional Requirement</w:t>
            </w:r>
          </w:p>
        </w:tc>
        <w:tc>
          <w:tcPr>
            <w:tcW w:w="6345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Description</w:t>
            </w:r>
          </w:p>
        </w:tc>
        <w:trPr/>
      </w:tr>
      <w:tr>
        <w:tc>
          <w:tcPr>
            <w:tcW w:w="87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NFR-1</w:t>
            </w:r>
          </w:p>
        </w:tc>
        <w:tc>
          <w:tcPr>
            <w:tcW w:w="223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Usability</w:t>
            </w:r>
          </w:p>
        </w:tc>
        <w:tc>
          <w:tcPr>
            <w:tcW w:w="63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The SmartSDLC platform should offer a simple, user-friendly interface using Streamlit.</w:t>
            </w:r>
          </w:p>
        </w:tc>
        <w:trPr/>
      </w:tr>
      <w:tr>
        <w:tc>
          <w:tcPr>
            <w:tcW w:w="87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NFR-2</w:t>
            </w:r>
          </w:p>
        </w:tc>
        <w:tc>
          <w:tcPr>
            <w:tcW w:w="223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Security</w:t>
            </w:r>
          </w:p>
        </w:tc>
        <w:tc>
          <w:tcPr>
            <w:tcW w:w="63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Secure access with API key protection, input validation, and safe code execution handling.</w:t>
            </w:r>
          </w:p>
        </w:tc>
        <w:trPr/>
      </w:tr>
      <w:tr>
        <w:tc>
          <w:tcPr>
            <w:tcW w:w="87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NFR-3</w:t>
            </w:r>
          </w:p>
        </w:tc>
        <w:tc>
          <w:tcPr>
            <w:tcW w:w="223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Reliability</w:t>
            </w:r>
          </w:p>
        </w:tc>
        <w:tc>
          <w:tcPr>
            <w:tcW w:w="63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The system must provide consistent AI responses and handle failures gracefully.</w:t>
            </w:r>
          </w:p>
        </w:tc>
        <w:trPr/>
      </w:tr>
      <w:tr>
        <w:tc>
          <w:tcPr>
            <w:tcW w:w="87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NFR-4</w:t>
            </w:r>
          </w:p>
        </w:tc>
        <w:tc>
          <w:tcPr>
            <w:tcW w:w="223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Performance</w:t>
            </w:r>
          </w:p>
        </w:tc>
        <w:tc>
          <w:tcPr>
            <w:tcW w:w="63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The platform should process and respond within 2–3 seconds under standard load.</w:t>
            </w:r>
          </w:p>
        </w:tc>
        <w:trPr/>
      </w:tr>
      <w:tr>
        <w:tc>
          <w:tcPr>
            <w:tcW w:w="87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NFR-5</w:t>
            </w:r>
          </w:p>
        </w:tc>
        <w:tc>
          <w:tcPr>
            <w:tcW w:w="223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Availability</w:t>
            </w:r>
          </w:p>
        </w:tc>
        <w:tc>
          <w:tcPr>
            <w:tcW w:w="63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The application should be accessible via public ngrok URL or hosted environment 24/7.</w:t>
            </w:r>
          </w:p>
        </w:tc>
        <w:trPr/>
      </w:tr>
      <w:tr>
        <w:tc>
          <w:tcPr>
            <w:tcW w:w="87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NFR-6</w:t>
            </w:r>
          </w:p>
        </w:tc>
        <w:tc>
          <w:tcPr>
            <w:tcW w:w="223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Scalability</w:t>
            </w:r>
          </w:p>
        </w:tc>
        <w:tc>
          <w:tcPr>
            <w:tcW w:w="63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The modular design should support easy integration of new AI services and user growth.</w:t>
            </w:r>
          </w:p>
        </w:tc>
        <w:trPr/>
      </w:tr>
    </w:tbl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ac748a53-0a3e-20b4-7b51-9cfd28ba6d5a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1544596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  <w:style w:type="table" w:styleId="6988453">
    <w:tblPr>
      <w:tbl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blBorders>
    </w:tblPr>
    <w:tcPr>
      <w:vAlign w:val="top"/>
      <w:tc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cBorders>
      <w:tcMar>
        <w:left w:w="90" w:type="dxa"/>
        <w:right w:w="90" w:type="dxa"/>
      </w:tcMar>
    </w:tcPr>
    <w:unhideWhenUsed/>
    <w:qFormat/>
  </w:style>
  <w:style w:type="table" w:styleId="2398214">
    <w:tblPr>
      <w:tbl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blBorders>
    </w:tblPr>
    <w:tcPr>
      <w:vAlign w:val="top"/>
      <w:tc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ac748a53-0a3e-20b4-7b51-9cfd28ba6d5a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