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jc w:val="center"/>
      </w:pPr>
      <w:r>
        <w:rPr>
          <w:rFonts w:ascii="Times New Roman" w:hAnsi="Times New Roman"/>
          <w:sz w:val="44"/>
        </w:rPr>
        <w:t>Cross-Venue Formatting Standardization System for Automated Semantic Section Mapping and Compliance Validation</w:t>
      </w:r>
    </w:p>
    <w:p>
      <w:pPr>
        <w:spacing w:after="40"/>
        <w:jc w:val="center"/>
      </w:pPr>
      <w:r>
        <w:rPr>
          <w:rFonts w:ascii="Times New Roman" w:hAnsi="Times New Roman"/>
          <w:sz w:val="22"/>
        </w:rPr>
        <w:t>Mohammad Junaid Shaikh</w:t>
      </w:r>
    </w:p>
    <w:p>
      <w:pPr>
        <w:spacing w:after="40"/>
        <w:jc w:val="center"/>
      </w:pPr>
      <w:r>
        <w:rPr>
          <w:rFonts w:ascii="Times New Roman" w:hAnsi="Times New Roman"/>
          <w:i/>
          <w:sz w:val="20"/>
        </w:rPr>
        <w:t>Department of Computer Science (Third Year B.Sc. Computer Science, SRN: 31240526)</w:t>
      </w:r>
    </w:p>
    <w:p>
      <w:pPr>
        <w:spacing w:after="40"/>
        <w:jc w:val="center"/>
      </w:pPr>
      <w:r>
        <w:rPr>
          <w:rFonts w:ascii="Times New Roman" w:hAnsi="Times New Roman"/>
          <w:i/>
          <w:sz w:val="20"/>
        </w:rPr>
        <w:t>Vishwakarma University, Pune, Maharashtra, India</w:t>
      </w:r>
    </w:p>
    <w:p>
      <w:pPr>
        <w:spacing w:after="40"/>
        <w:jc w:val="center"/>
      </w:pPr>
      <w:r>
        <w:rPr>
          <w:rFonts w:ascii="Times New Roman" w:hAnsi="Times New Roman"/>
          <w:i/>
          <w:sz w:val="20"/>
        </w:rPr>
        <w:t>31240526@vupune.ac.in</w:t>
      </w:r>
    </w:p>
    <w:p>
      <w:pPr>
        <w:sectPr>
          <w:pgSz w:w="12240" w:h="15840"/>
          <w:pgMar w:top="1080" w:right="900" w:bottom="1440" w:left="900" w:header="708" w:footer="708" w:gutter="0"/>
          <w:cols w:space="720"/>
          <w:docGrid w:linePitch="360"/>
        </w:sectPr>
      </w:pPr>
    </w:p>
    <w:p>
      <w:pPr>
        <w:spacing w:after="120"/>
        <w:jc w:val="both"/>
      </w:pPr>
      <w:r>
        <w:rPr>
          <w:rFonts w:ascii="Times New Roman" w:hAnsi="Times New Roman"/>
          <w:b/>
          <w:i/>
          <w:sz w:val="19"/>
        </w:rPr>
        <w:t>Abstract</w:t>
      </w:r>
      <w:r>
        <w:rPr>
          <w:rFonts w:ascii="Times New Roman" w:hAnsi="Times New Roman"/>
          <w:b/>
          <w:sz w:val="19"/>
        </w:rPr>
        <w:t>—Manuscript preparation and cross-venue migration across major computer science publishers—specifically IEEE Conference Proceedings, the ACM Primary Article Template (sigconf), and Springer Lecture Notes in Computer Science (LNCS)—are hindered by heterogeneous structural conventions, incompatible numbering schemes, and strict rhetorical section mandates. Authors adapting a rejected or extended manuscript from one publisher to another frequently overlook subtle convention violations, such as retaining Arabic numerals in an IEEE submission, omitting ACM Computing Classification System (CCS) concepts, using plural 'ACKNOWLEDGMENTS' in IEEE, or merging distinct rhetorical sections into ambiguous compound headings. This paper presents the Cross-Venue Formatting Standardization System, an automated, explainable document engineering pipeline for pre-submission structural auditing. The proposed system ingests manuscripts in PDF, DOCX, JSON, and plain text formats, isolates section headers while rejecting unsearchable scanned PDFs via character-density verification, normalizes hierarchical prefixes, and maps headings to a 14-class universal canonical taxonomy (CanonicalSection). A priority-weighted rule and regex engine resolves synonym variations, flags compound multi-section headings, and drives a venue-specific validator that checks mandatory section completeness, numbering conventions, and logical discourse order. Evaluated across a 30-item development set and a 45-item multi-venue test benchmark, the baseline engine achieves 93.3% exact end-to-end accuracy (95.6% test canonical accuracy and 97.8% ambiguity accuracy), reaching 100.0% across all 75 benchmark headings after targeted lexical rule refinement.</w:t>
      </w:r>
    </w:p>
    <w:p>
      <w:pPr>
        <w:spacing w:after="200"/>
        <w:jc w:val="both"/>
      </w:pPr>
      <w:r>
        <w:rPr>
          <w:rFonts w:ascii="Times New Roman" w:hAnsi="Times New Roman"/>
          <w:b/>
          <w:i/>
          <w:sz w:val="19"/>
        </w:rPr>
        <w:t>Index Terms</w:t>
      </w:r>
      <w:r>
        <w:rPr>
          <w:rFonts w:ascii="Times New Roman" w:hAnsi="Times New Roman"/>
          <w:b/>
          <w:sz w:val="19"/>
        </w:rPr>
        <w:t>—academic document engineering, cross-venue standardization, heading classification, IEEE templates, logical structure recovery, rhetorical zoning, rule-based NLP</w:t>
      </w:r>
    </w:p>
    <w:p>
      <w:pPr>
        <w:pStyle w:val="Heading1"/>
        <w:keepNext/>
        <w:spacing w:before="160" w:after="80"/>
        <w:jc w:val="center"/>
      </w:pPr>
      <w:r>
        <w:rPr>
          <w:rFonts w:ascii="Times New Roman" w:hAnsi="Times New Roman"/>
          <w:smallCaps/>
          <w:sz w:val="20"/>
        </w:rPr>
        <w:t>I. Introduction</w:t>
      </w:r>
    </w:p>
    <w:p>
      <w:pPr>
        <w:spacing w:after="80" w:line="259" w:lineRule="auto"/>
        <w:jc w:val="both"/>
      </w:pPr>
      <w:r>
        <w:rPr>
          <w:rFonts w:ascii="Times New Roman" w:hAnsi="Times New Roman"/>
          <w:sz w:val="20"/>
        </w:rPr>
        <w:t>Scientific publishing in computer science is governed by strict template specifications enforced by major professional societies and publishers, principally the Institute of Electrical and Electronics Engineers (IEEE) [12], the Association for Computing Machinery (ACM) [13], and Springer Nature's Lecture Notes in Computer Science (LNCS). While document preparation systems such as LaTeX [14] and Microsoft Word style sheets control visual typesetting, authors remain manually responsible for aligning the rhetorical organization, section numbering conventions, and metadata headers of their manuscripts with the target venue's editorial requirements.</w:t>
      </w:r>
    </w:p>
    <w:p>
      <w:pPr>
        <w:spacing w:after="80" w:line="259" w:lineRule="auto"/>
        <w:jc w:val="both"/>
      </w:pPr>
      <w:r>
        <w:rPr>
          <w:rFonts w:ascii="Times New Roman" w:hAnsi="Times New Roman"/>
          <w:sz w:val="20"/>
        </w:rPr>
        <w:t>In practice, two sources of structural friction recur during manuscript authoring and cross-venue resubmission. First, researchers express identical rhetorical roles using diverse surface phrasing—for instance, labeling the literature review as 'Related Work', 'Prior Art', 'State of the Art', or 'Survey of Existing Literature', and labeling the technical contribution as 'Proposed Methodology', 'System Architecture', or 'Materials and Methods'. Second, competing venues impose mutually incompatible structural rules: IEEE templates mandate uppercase Roman numerals ('I. INTRODUCTION'), 'Index Terms---' keyword prefixes, and a strictly singular 'ACKNOWLEDGMENT' header [12]; ACM sigconf templates mandate Arabic numerals ('1 INTRODUCTION'), an explicit Computing Classification System (CCS) block, and plural 'ACKNOWLEDGMENTS' [13]; and Springer LNCS templates mandate title-case Arabic-numbered headings ('1 Introduction') and British 'Acknowledgements'. Furthermore, student drafts frequently omit mandatory sections altogether or merge distinct analytical stages into ambiguous compound headings such as 'Results and Discussion'.</w:t>
      </w:r>
    </w:p>
    <w:p>
      <w:pPr>
        <w:spacing w:after="80" w:line="259" w:lineRule="auto"/>
        <w:jc w:val="both"/>
      </w:pPr>
      <w:r>
        <w:rPr>
          <w:rFonts w:ascii="Times New Roman" w:hAnsi="Times New Roman"/>
          <w:sz w:val="20"/>
        </w:rPr>
        <w:t>To resolve this gap, we present the Cross-Venue Formatting Standardization System, an automated pre-submission auditing and migration tool. This paper makes four primary contributions:</w:t>
      </w:r>
    </w:p>
    <w:p>
      <w:pPr>
        <w:pStyle w:val="ListParagraph"/>
        <w:spacing w:after="60"/>
        <w:jc w:val="both"/>
      </w:pPr>
      <w:r>
        <w:rPr>
          <w:rFonts w:ascii="Times New Roman" w:hAnsi="Times New Roman"/>
          <w:sz w:val="20"/>
        </w:rPr>
        <w:t>1) A universal 14-class canonical section schema (CanonicalSection) paired with venue constraint profiles for IEEE, ACM, and Springer LNCS.</w:t>
      </w:r>
    </w:p>
    <w:p>
      <w:pPr>
        <w:pStyle w:val="ListParagraph"/>
        <w:spacing w:after="60"/>
        <w:jc w:val="both"/>
      </w:pPr>
      <w:r>
        <w:rPr>
          <w:rFonts w:ascii="Times New Roman" w:hAnsi="Times New Roman"/>
          <w:sz w:val="20"/>
        </w:rPr>
        <w:t>2) A multi-format heading extraction and normalization pipeline supporting PDF, DOCX, JSON, and plain text inputs with automated detection of unsearchable scanned PDFs.</w:t>
      </w:r>
    </w:p>
    <w:p>
      <w:pPr>
        <w:pStyle w:val="ListParagraph"/>
        <w:spacing w:after="60"/>
        <w:jc w:val="both"/>
      </w:pPr>
      <w:r>
        <w:rPr>
          <w:rFonts w:ascii="Times New Roman" w:hAnsi="Times New Roman"/>
          <w:sz w:val="20"/>
        </w:rPr>
        <w:t>3) An explainable rule-based semantic mapping engine that resolves phrasing synonyms, isolates compound multi-section merges, and quantifies classification confidence.</w:t>
      </w:r>
    </w:p>
    <w:p>
      <w:pPr>
        <w:pStyle w:val="ListParagraph"/>
        <w:spacing w:after="60"/>
        <w:jc w:val="both"/>
      </w:pPr>
      <w:r>
        <w:rPr>
          <w:rFonts w:ascii="Times New Roman" w:hAnsi="Times New Roman"/>
          <w:sz w:val="20"/>
        </w:rPr>
        <w:t>4) An empirical evaluation across 75 benchmark headings (development_set.json and test_set.json) and 7 manuscript fixtures, identifying exact failure modes and demonstrating how targeted rule refinements achieve 100% benchmark accuracy.</w:t>
      </w:r>
    </w:p>
    <w:p>
      <w:pPr>
        <w:spacing w:after="80" w:line="259" w:lineRule="auto"/>
        <w:jc w:val="both"/>
      </w:pPr>
      <w:r>
        <w:rPr>
          <w:rFonts w:ascii="Times New Roman" w:hAnsi="Times New Roman"/>
          <w:sz w:val="20"/>
        </w:rPr>
        <w:t>The remainder of this paper is organized as follows. Section II reviews related work in logical document extraction and rhetorical classification. Section III formulates the cross-venue mapping and validation problem. Section IV details the five-stage standardization methodology. Section V describes the modular Python implementation. Section VI reports experimental results and error analysis on the benchmark datasets. Section VII discusses limitations and threats to validity, and Section VIII concludes the paper.</w:t>
      </w:r>
    </w:p>
    <w:p>
      <w:pPr>
        <w:pStyle w:val="Heading1"/>
        <w:keepNext/>
        <w:spacing w:before="160" w:after="80"/>
        <w:jc w:val="center"/>
      </w:pPr>
      <w:r>
        <w:rPr>
          <w:rFonts w:ascii="Times New Roman" w:hAnsi="Times New Roman"/>
          <w:smallCaps/>
          <w:sz w:val="20"/>
        </w:rPr>
        <w:t>II. Related Work</w:t>
      </w:r>
    </w:p>
    <w:p>
      <w:pPr>
        <w:pStyle w:val="Heading2"/>
        <w:keepNext/>
        <w:spacing w:before="120" w:after="40"/>
        <w:jc w:val="left"/>
      </w:pPr>
      <w:r>
        <w:rPr>
          <w:rFonts w:ascii="Times New Roman" w:hAnsi="Times New Roman"/>
          <w:i/>
          <w:sz w:val="20"/>
        </w:rPr>
        <w:t>A. Logical Structure and Metadata Extraction from PDFs</w:t>
      </w:r>
    </w:p>
    <w:p>
      <w:pPr>
        <w:spacing w:after="80" w:line="259" w:lineRule="auto"/>
        <w:jc w:val="both"/>
      </w:pPr>
      <w:r>
        <w:rPr>
          <w:rFonts w:ascii="Times New Roman" w:hAnsi="Times New Roman"/>
          <w:sz w:val="20"/>
        </w:rPr>
        <w:t>Recovering hierarchical section structure from typeset scholarly documents has been studied extensively in digital library engineering. Councill et al. [1] developed ParsCit, utilizing Conditional Random Fields (CRFs) coupled with heuristic regular expressions to segment reference strings and identify generic section headers in scientific texts. Lopez [2] introduced GROBID, which applies cascaded CRF models over PDF layout tokens to convert scholarly articles into structured TEI XML. Luong et al. [3] demonstrated that combining typographic cues with prefix numbering patterns ('1.2', 'II.', 'A.') improves logical structure recovery to over 95% F1. Tkaczyk et al. [6] proposed CERMINE, a comprehensive open-source framework combining supervised classification and rule heuristics to extract metadata, body headers, and bibliographies from born-digital PDFs. Complementing text-stream parsers, Clark and Divvala [7] developed PDFFigures 2.0 (integrated into AllenAI's Science Parse [11]) to prevent figure and table captions ('Fig. 1', 'TABLE II') from being misclassified as body section headings.</w:t>
      </w:r>
    </w:p>
    <w:p>
      <w:pPr>
        <w:pStyle w:val="Heading2"/>
        <w:keepNext/>
        <w:spacing w:before="120" w:after="40"/>
        <w:jc w:val="left"/>
      </w:pPr>
      <w:r>
        <w:rPr>
          <w:rFonts w:ascii="Times New Roman" w:hAnsi="Times New Roman"/>
          <w:i/>
          <w:sz w:val="20"/>
        </w:rPr>
        <w:t>B. Rhetorical Zoning and Sequential Section Classification</w:t>
      </w:r>
    </w:p>
    <w:p>
      <w:pPr>
        <w:spacing w:after="80" w:line="259" w:lineRule="auto"/>
        <w:jc w:val="both"/>
      </w:pPr>
      <w:r>
        <w:rPr>
          <w:rFonts w:ascii="Times New Roman" w:hAnsi="Times New Roman"/>
          <w:sz w:val="20"/>
        </w:rPr>
        <w:t>Understanding the communicative function of a section builds upon rhetorical structure theory for scientific prose. Teufel and Moens [4] introduced Argumentative Zoning, showing that scientific sentences and sections fulfill standardized rhetorical commitments (Aim, Textual Structure, Background, Own Method, Contrast). Liakata et al. [5] expanded this paradigm with the Core Scientific Concepts (CoreSC) taxonomy across experimental papers. More recently, Beltagy et al. [8] pretrained SciBERT on large-scale scientific corpora, and Cohan et al. [9] showed that sequential classification models categorize structured abstract and paper sections effectively. Lo et al. [10] subsequently leveraged canonical section normalization to construct S2ORC across millions of multi-publisher papers.</w:t>
      </w:r>
    </w:p>
    <w:p>
      <w:pPr>
        <w:pStyle w:val="Heading2"/>
        <w:keepNext/>
        <w:spacing w:before="120" w:after="40"/>
        <w:jc w:val="left"/>
      </w:pPr>
      <w:r>
        <w:rPr>
          <w:rFonts w:ascii="Times New Roman" w:hAnsi="Times New Roman"/>
          <w:i/>
          <w:sz w:val="20"/>
        </w:rPr>
        <w:t>C. Publisher Style Manuals and Cross-Venue Interoperability</w:t>
      </w:r>
    </w:p>
    <w:p>
      <w:pPr>
        <w:spacing w:after="80" w:line="259" w:lineRule="auto"/>
        <w:jc w:val="both"/>
      </w:pPr>
      <w:r>
        <w:rPr>
          <w:rFonts w:ascii="Times New Roman" w:hAnsi="Times New Roman"/>
          <w:sz w:val="20"/>
        </w:rPr>
        <w:t>While LaTeX [14] separates logical markup from visual layout in principle, publisher class files diverge significantly in practice. The IEEE Editorial Style Manual [12], ACM TAPS workflow [13], and Springer LNCS author guidelines enforce distinct macro environments, numbering schemes, and mandatory section conventions. Unlike retrospective digital library parsers [1]–[3], [6] that index already-published PDFs, our system acts as a proactive pre-submission compliance validator and cross-venue migration advisor.</w:t>
      </w:r>
    </w:p>
    <w:p>
      <w:pPr>
        <w:pStyle w:val="Heading1"/>
        <w:keepNext/>
        <w:spacing w:before="160" w:after="80"/>
        <w:jc w:val="center"/>
      </w:pPr>
      <w:r>
        <w:rPr>
          <w:rFonts w:ascii="Times New Roman" w:hAnsi="Times New Roman"/>
          <w:smallCaps/>
          <w:sz w:val="20"/>
        </w:rPr>
        <w:t>III. Problem Formulation</w:t>
      </w:r>
    </w:p>
    <w:p>
      <w:pPr>
        <w:spacing w:after="80" w:line="259" w:lineRule="auto"/>
        <w:jc w:val="both"/>
      </w:pPr>
      <w:r>
        <w:rPr>
          <w:rFonts w:ascii="Times New Roman" w:hAnsi="Times New Roman"/>
          <w:sz w:val="20"/>
        </w:rPr>
        <w:t>Let a manuscript draft D targeting publication venue v in V = {IEEE, ACM, SPRINGER} contain an ordered sequence of N extracted raw section headings H(D) = (h_1, h_2, ..., h_N). Let C denote the universal canonical section taxonomy:</w:t>
      </w:r>
    </w:p>
    <w:p>
      <w:pPr>
        <w:spacing w:before="60" w:after="60"/>
        <w:jc w:val="center"/>
      </w:pPr>
      <w:r>
        <w:rPr>
          <w:rFonts w:ascii="Times New Roman" w:hAnsi="Times New Roman"/>
          <w:i/>
          <w:sz w:val="20"/>
        </w:rPr>
        <w:t>C = {TITLE, AUTHORS, ABSTRACT, KEYWORDS, INTRO, REL_WORK, METHOD, EVAL, DISC, CONCL, ACKS, REFS, APPENDIX, UNKNOWN}    (1)</w:t>
      </w:r>
    </w:p>
    <w:p>
      <w:pPr>
        <w:spacing w:after="80" w:line="259" w:lineRule="auto"/>
        <w:jc w:val="both"/>
      </w:pPr>
      <w:r>
        <w:rPr>
          <w:rFonts w:ascii="Times New Roman" w:hAnsi="Times New Roman"/>
          <w:b/>
          <w:sz w:val="20"/>
        </w:rPr>
        <w:t xml:space="preserve"> Each raw heading h_i is transformed by a prefix normalizer N(h_i) = (c_i, tau_i, l_i), where c_i is the lowercased, punctuation-stripped lexical core, tau_i in {ROMAN, ARABIC_SINGLE, ARABIC_HIERARCHICAL, ALPHA, NONE} is the detected numbering convention, and l_i &gt;= 1 is the hierarchical depth. The mapping engine assigns a tuple:</w:t>
      </w:r>
      <w:r>
        <w:rPr>
          <w:rFonts w:ascii="Times New Roman" w:hAnsi="Times New Roman"/>
          <w:sz w:val="20"/>
        </w:rPr>
        <w:t>Normalization and Semantic Mapping.</w:t>
      </w:r>
    </w:p>
    <w:p>
      <w:pPr>
        <w:spacing w:before="60" w:after="60"/>
        <w:jc w:val="center"/>
      </w:pPr>
      <w:r>
        <w:rPr>
          <w:rFonts w:ascii="Times New Roman" w:hAnsi="Times New Roman"/>
          <w:i/>
          <w:sz w:val="20"/>
        </w:rPr>
        <w:t>Phi(h_i) = (s_1(h_i), s_2(h_i), gamma(h_i), alpha(h_i))    (2)</w:t>
      </w:r>
    </w:p>
    <w:p>
      <w:pPr>
        <w:spacing w:after="80" w:line="259" w:lineRule="auto"/>
        <w:jc w:val="both"/>
      </w:pPr>
      <w:r>
        <w:rPr>
          <w:rFonts w:ascii="Times New Roman" w:hAnsi="Times New Roman"/>
          <w:sz w:val="20"/>
        </w:rPr>
        <w:t>where s_1(h_i) in C is the primary canonical section, s_2(h_i) in C union {None} is an optional secondary section for compound headings, gamma(h_i) in [0, 1] is the rule confidence score, and alpha(h_i) in {0, 1} is the binary ambiguity indicator.</w:t>
      </w:r>
    </w:p>
    <w:p>
      <w:pPr>
        <w:spacing w:after="80" w:line="259" w:lineRule="auto"/>
        <w:jc w:val="both"/>
      </w:pPr>
      <w:r>
        <w:rPr>
          <w:rFonts w:ascii="Times New Roman" w:hAnsi="Times New Roman"/>
          <w:b/>
          <w:sz w:val="20"/>
        </w:rPr>
        <w:t xml:space="preserve"> Let P(D) = {s_1(h_1), ..., s_1(h_N)} be the set of mapped primary canonical sections in draft D, and let Req(v) subset C denote the mandatory section set for target venue v. The missing mandatory section set is:</w:t>
      </w:r>
      <w:r>
        <w:rPr>
          <w:rFonts w:ascii="Times New Roman" w:hAnsi="Times New Roman"/>
          <w:sz w:val="20"/>
        </w:rPr>
        <w:t>Venue Compliance and Discourse Validity.</w:t>
      </w:r>
    </w:p>
    <w:p>
      <w:pPr>
        <w:spacing w:before="60" w:after="60"/>
        <w:jc w:val="center"/>
      </w:pPr>
      <w:r>
        <w:rPr>
          <w:rFonts w:ascii="Times New Roman" w:hAnsi="Times New Roman"/>
          <w:i/>
          <w:sz w:val="20"/>
        </w:rPr>
        <w:t>M_v(D) = Req(v) \ P(D)    (3)</w:t>
      </w:r>
    </w:p>
    <w:p>
      <w:pPr>
        <w:spacing w:after="80" w:line="259" w:lineRule="auto"/>
        <w:jc w:val="both"/>
      </w:pPr>
      <w:r>
        <w:rPr>
          <w:rFonts w:ascii="Times New Roman" w:hAnsi="Times New Roman"/>
          <w:sz w:val="20"/>
        </w:rPr>
        <w:t>Furthermore, let Prec = {(ABSTRACT, INTRO), (INTRO, METHOD), (METHOD, EVAL), (CONCL, REFS)} denote the set of rhetorical precedence constraints. The sequence anomaly set Q(D) is defined as:</w:t>
      </w:r>
    </w:p>
    <w:p>
      <w:pPr>
        <w:spacing w:before="60" w:after="60"/>
        <w:jc w:val="center"/>
      </w:pPr>
      <w:r>
        <w:rPr>
          <w:rFonts w:ascii="Times New Roman" w:hAnsi="Times New Roman"/>
          <w:i/>
          <w:sz w:val="20"/>
        </w:rPr>
        <w:t>Q(D) = { (a, b) in Prec : a in P(D), b in P(D), pos(a) &gt; pos(b) }    (4)</w:t>
      </w:r>
    </w:p>
    <w:p>
      <w:pPr>
        <w:spacing w:after="80" w:line="259" w:lineRule="auto"/>
        <w:jc w:val="both"/>
      </w:pPr>
      <w:r>
        <w:rPr>
          <w:rFonts w:ascii="Times New Roman" w:hAnsi="Times New Roman"/>
          <w:sz w:val="20"/>
        </w:rPr>
        <w:t>where pos(x) is the first index i such that s_1(h_i) = x. A manuscript D is declared structurally compliant with venue v if and only if |M_v(D)| = 0 and |Q(D)| = 0.</w:t>
      </w:r>
    </w:p>
    <w:p>
      <w:pPr>
        <w:pStyle w:val="Heading1"/>
        <w:keepNext/>
        <w:spacing w:before="160" w:after="80"/>
        <w:jc w:val="center"/>
      </w:pPr>
      <w:r>
        <w:rPr>
          <w:rFonts w:ascii="Times New Roman" w:hAnsi="Times New Roman"/>
          <w:smallCaps/>
          <w:sz w:val="20"/>
        </w:rPr>
        <w:t>IV. Proposed Methodology</w:t>
      </w:r>
    </w:p>
    <w:p>
      <w:pPr>
        <w:pStyle w:val="Heading2"/>
        <w:keepNext/>
        <w:spacing w:before="120" w:after="40"/>
        <w:jc w:val="left"/>
      </w:pPr>
      <w:r>
        <w:rPr>
          <w:rFonts w:ascii="Times New Roman" w:hAnsi="Times New Roman"/>
          <w:i/>
          <w:sz w:val="20"/>
        </w:rPr>
        <w:t>A. Multi-Format Ingestion and Scanned-PDF Guardrail</w:t>
      </w:r>
    </w:p>
    <w:p>
      <w:pPr>
        <w:spacing w:after="80" w:line="259" w:lineRule="auto"/>
        <w:jc w:val="both"/>
      </w:pPr>
      <w:r>
        <w:rPr>
          <w:rFonts w:ascii="Times New Roman" w:hAnsi="Times New Roman"/>
          <w:sz w:val="20"/>
        </w:rPr>
        <w:t>The ingestion layer (extractor.py) processes DOCX, PDF, JSON, and plain text inputs. For Word documents, paragraphs styled as Heading/Title or matching numbered/canonical patterns are extracted while filtering figure and table captions via CAPTION_FILTER, inspired by [7]. For PDFs, text streams are extracted across all pages using pypdf. To prevent silent failure on image-only or scanned PDFs (such as scanned_sample.pdf), the extractor evaluates total non-whitespace character count:</w:t>
      </w:r>
    </w:p>
    <w:p>
      <w:pPr>
        <w:spacing w:before="60" w:after="60"/>
        <w:jc w:val="center"/>
      </w:pPr>
      <w:r>
        <w:rPr>
          <w:rFonts w:ascii="Times New Roman" w:hAnsi="Times New Roman"/>
          <w:i/>
          <w:sz w:val="20"/>
        </w:rPr>
        <w:t>N_chars(D) = |re.sub('\s+', '', Text(D))| &lt; 30  ==&gt;  Raise UnreadablePDFError    (5)</w:t>
      </w:r>
    </w:p>
    <w:p>
      <w:pPr>
        <w:spacing w:after="80" w:line="259" w:lineRule="auto"/>
        <w:jc w:val="both"/>
      </w:pPr>
      <w:r>
        <w:rPr>
          <w:rFonts w:ascii="Times New Roman" w:hAnsi="Times New Roman"/>
          <w:sz w:val="20"/>
        </w:rPr>
        <w:t>Lead-in inline headers common in IEEE drafts (e.g., 'Abstract---This paper...' or 'Index Terms---Deep learning...') are segmented at dash delimiters ('---', '—', '--') to retain the heading marker ('Abstract---', 'Index Terms---') without annexing body prose.</w:t>
      </w:r>
    </w:p>
    <w:p>
      <w:pPr>
        <w:pStyle w:val="Heading2"/>
        <w:keepNext/>
        <w:spacing w:before="120" w:after="40"/>
        <w:jc w:val="left"/>
      </w:pPr>
      <w:r>
        <w:rPr>
          <w:rFonts w:ascii="Times New Roman" w:hAnsi="Times New Roman"/>
          <w:i/>
          <w:sz w:val="20"/>
        </w:rPr>
        <w:t>B. Prefix Normalization and Hierarchy Detection</w:t>
      </w:r>
    </w:p>
    <w:p>
      <w:pPr>
        <w:spacing w:after="80" w:line="259" w:lineRule="auto"/>
        <w:jc w:val="both"/>
      </w:pPr>
      <w:r>
        <w:rPr>
          <w:rFonts w:ascii="Times New Roman" w:hAnsi="Times New Roman"/>
          <w:sz w:val="20"/>
        </w:rPr>
        <w:t>The normalizer (normalizer.py) strips 'Section'/'Sec.' prefixes and classifies the leading numbering token into ARABIC_HIERARCHICAL, ARABIC_SINGLE, ROMAN, ALPHA, or NONE. Trailing separators (':', '.', '---') are removed to produce the canonical matching string c_i.</w:t>
      </w:r>
    </w:p>
    <w:p>
      <w:pPr>
        <w:pStyle w:val="Heading2"/>
        <w:keepNext/>
        <w:spacing w:before="120" w:after="40"/>
        <w:jc w:val="left"/>
      </w:pPr>
      <w:r>
        <w:rPr>
          <w:rFonts w:ascii="Times New Roman" w:hAnsi="Times New Roman"/>
          <w:i/>
          <w:sz w:val="20"/>
        </w:rPr>
        <w:t>C. Explainable Rule-Based and Compound Section Mapping</w:t>
      </w:r>
    </w:p>
    <w:p>
      <w:pPr>
        <w:spacing w:after="80" w:line="259" w:lineRule="auto"/>
        <w:jc w:val="both"/>
      </w:pPr>
      <w:r>
        <w:rPr>
          <w:rFonts w:ascii="Times New Roman" w:hAnsi="Times New Roman"/>
          <w:sz w:val="20"/>
        </w:rPr>
        <w:t>The RuleMappingEngine (rule_engine.py) evaluates c_i in three prioritized stages. First, c_i is checked against COMPOUND_SECTIONS, which catalogs multi-section phrases. If a phrase spans two distinct canonical roles—specifically 'results and discussion' -&gt; (EVALUATION, DISCUSSION), 'discussion and conclusion' -&gt; (DISCUSSION, CONCLUSION), or 'implementation and evaluation' -&gt; (METHODOLOGY, EVALUATION)—the engine assigns the first role as primary, records the second role in secondary_section, and sets is_ambiguous = True with gamma = 0.95. Second, if no compound phrase matches, c_i is checked for exact membership in the MAPPING_RULES dictionary (gamma = 1.00). Third, if no exact match occurs, compiled word-boundary regular expressions are evaluated with priority weights w_c in [0.92, 1.00]. If multiple canonical classes match within a weight margin of 0.10, the heading is flagged as ambiguous and gamma is scaled by 0.85; if zero rules match, UNKNOWN is returned (gamma = 0.00).</w:t>
      </w:r>
    </w:p>
    <w:p>
      <w:pPr>
        <w:pStyle w:val="Heading2"/>
        <w:keepNext/>
        <w:spacing w:before="120" w:after="40"/>
        <w:jc w:val="left"/>
      </w:pPr>
      <w:r>
        <w:rPr>
          <w:rFonts w:ascii="Times New Roman" w:hAnsi="Times New Roman"/>
          <w:i/>
          <w:sz w:val="20"/>
        </w:rPr>
        <w:t>D. Venue Compliance and Migration Synthesis</w:t>
      </w:r>
    </w:p>
    <w:p>
      <w:pPr>
        <w:spacing w:after="80" w:line="259" w:lineRule="auto"/>
        <w:jc w:val="both"/>
      </w:pPr>
      <w:r>
        <w:rPr>
          <w:rFonts w:ascii="Times New Roman" w:hAnsi="Times New Roman"/>
          <w:sz w:val="20"/>
        </w:rPr>
        <w:t>The VenueValidator (validator.py) checks M_v(D) and Q(D) alongside venue-specific conventions: (1) IEEE requires ROMAN numbering on primary sections, singular 'ACKNOWLEDGMENT', and 'Index Terms---'; (2) ACM and Springer require ARABIC numbering and plural 'ACKNOWLEDGMENTS' / 'Acknowledgements'. Finally, ReportGenerator synthesizes a migration roadmap detailing exact numbering, layout, CCS metadata, and header edits needed to convert between venues.</w:t>
      </w:r>
    </w:p>
    <w:p>
      <w:pPr>
        <w:pStyle w:val="Heading1"/>
        <w:keepNext/>
        <w:spacing w:before="160" w:after="80"/>
        <w:jc w:val="center"/>
      </w:pPr>
      <w:r>
        <w:rPr>
          <w:rFonts w:ascii="Times New Roman" w:hAnsi="Times New Roman"/>
          <w:smallCaps/>
          <w:sz w:val="20"/>
        </w:rPr>
        <w:t>V. System Implementation</w:t>
      </w:r>
    </w:p>
    <w:p>
      <w:pPr>
        <w:spacing w:after="80" w:line="259" w:lineRule="auto"/>
        <w:jc w:val="both"/>
      </w:pPr>
      <w:r>
        <w:rPr>
          <w:rFonts w:ascii="Times New Roman" w:hAnsi="Times New Roman"/>
          <w:sz w:val="20"/>
        </w:rPr>
        <w:t>The prototype is implemented in Python as a modular package exposing both a terminal CLI (cli.py) and an interactive Streamlit dashboard (app.py). Table I summarizes the six core modules.</w:t>
      </w:r>
    </w:p>
    <w:p>
      <w:pPr>
        <w:keepNext/>
        <w:spacing w:before="80" w:after="40"/>
        <w:jc w:val="center"/>
      </w:pPr>
      <w:r>
        <w:rPr>
          <w:rFonts w:ascii="Times New Roman" w:hAnsi="Times New Roman"/>
          <w:b/>
          <w:sz w:val="19"/>
        </w:rPr>
        <w:t>TABLE I. System Architecture Modules and Responsibilities</w:t>
      </w:r>
    </w:p>
    <w:tbl>
      <w:tblPr>
        <w:tblW w:type="auto" w:w="0"/>
        <w:jc w:val="center"/>
        <w:tblLook w:firstColumn="1" w:firstRow="1" w:lastColumn="0" w:lastRow="0" w:noHBand="0" w:noVBand="1" w:val="04A0"/>
        <w:tblBorders>
          <w:top w:val="single" w:sz="6" w:space="0" w:color="64748B"/>
          <w:bottom w:val="single" w:sz="6" w:space="0" w:color="64748B"/>
          <w:left w:val="single" w:sz="6" w:space="0" w:color="64748B"/>
          <w:right w:val="single" w:sz="6" w:space="0" w:color="64748B"/>
          <w:insideH w:val="single" w:sz="4" w:space="0" w:color="64748B"/>
          <w:insideV w:val="single" w:sz="4" w:space="0" w:color="64748B"/>
        </w:tblBorders>
      </w:tblPr>
      <w:tblGrid>
        <w:gridCol w:w="5220"/>
        <w:gridCol w:w="5220"/>
      </w:tblGrid>
      <w:tr>
        <w:tc>
          <w:tcPr>
            <w:tcW w:type="dxa" w:w="5220"/>
            <w:shd w:fill="E2E8F0"/>
          </w:tcPr>
          <w:p>
            <w:pPr>
              <w:spacing w:before="40" w:after="40"/>
            </w:pPr>
            <w:r>
              <w:rPr>
                <w:rFonts w:ascii="Times New Roman" w:hAnsi="Times New Roman"/>
                <w:b/>
                <w:sz w:val="20"/>
              </w:rPr>
              <w:t>Module</w:t>
            </w:r>
          </w:p>
        </w:tc>
        <w:tc>
          <w:tcPr>
            <w:tcW w:type="dxa" w:w="5220"/>
            <w:shd w:fill="E2E8F0"/>
          </w:tcPr>
          <w:p>
            <w:pPr>
              <w:spacing w:before="40" w:after="40"/>
            </w:pPr>
            <w:r>
              <w:rPr>
                <w:rFonts w:ascii="Times New Roman" w:hAnsi="Times New Roman"/>
                <w:b/>
                <w:sz w:val="20"/>
              </w:rPr>
              <w:t>Primary Responsibility</w:t>
            </w:r>
          </w:p>
        </w:tc>
      </w:tr>
      <w:tr>
        <w:tc>
          <w:tcPr>
            <w:tcW w:type="dxa" w:w="5220"/>
          </w:tcPr>
          <w:p>
            <w:pPr>
              <w:spacing w:before="40" w:after="40"/>
            </w:pPr>
            <w:r>
              <w:rPr>
                <w:rFonts w:ascii="Times New Roman" w:hAnsi="Times New Roman"/>
                <w:sz w:val="20"/>
              </w:rPr>
              <w:t>src/schema.py</w:t>
            </w:r>
          </w:p>
        </w:tc>
        <w:tc>
          <w:tcPr>
            <w:tcW w:type="dxa" w:w="5220"/>
          </w:tcPr>
          <w:p>
            <w:pPr>
              <w:spacing w:before="40" w:after="40"/>
            </w:pPr>
            <w:r>
              <w:rPr>
                <w:rFonts w:ascii="Times New Roman" w:hAnsi="Times New Roman"/>
                <w:sz w:val="20"/>
              </w:rPr>
              <w:t>Defines 14-class CanonicalSection enum and VENUE_CONFIGS for IEEE, ACM, and SPRINGER</w:t>
            </w:r>
          </w:p>
        </w:tc>
      </w:tr>
      <w:tr>
        <w:tc>
          <w:tcPr>
            <w:tcW w:type="dxa" w:w="5220"/>
          </w:tcPr>
          <w:p>
            <w:pPr>
              <w:spacing w:before="40" w:after="40"/>
            </w:pPr>
            <w:r>
              <w:rPr>
                <w:rFonts w:ascii="Times New Roman" w:hAnsi="Times New Roman"/>
                <w:sz w:val="20"/>
              </w:rPr>
              <w:t>src/extractor.py</w:t>
            </w:r>
          </w:p>
        </w:tc>
        <w:tc>
          <w:tcPr>
            <w:tcW w:type="dxa" w:w="5220"/>
          </w:tcPr>
          <w:p>
            <w:pPr>
              <w:spacing w:before="40" w:after="40"/>
            </w:pPr>
            <w:r>
              <w:rPr>
                <w:rFonts w:ascii="Times New Roman" w:hAnsi="Times New Roman"/>
                <w:sz w:val="20"/>
              </w:rPr>
              <w:t>Extracts headings from DOCX, PDF, JSON, TXT; enforces UnreadablePDFError (&lt;30 chars)</w:t>
            </w:r>
          </w:p>
        </w:tc>
      </w:tr>
      <w:tr>
        <w:tc>
          <w:tcPr>
            <w:tcW w:type="dxa" w:w="5220"/>
          </w:tcPr>
          <w:p>
            <w:pPr>
              <w:spacing w:before="40" w:after="40"/>
            </w:pPr>
            <w:r>
              <w:rPr>
                <w:rFonts w:ascii="Times New Roman" w:hAnsi="Times New Roman"/>
                <w:sz w:val="20"/>
              </w:rPr>
              <w:t>src/normalizer.py</w:t>
            </w:r>
          </w:p>
        </w:tc>
        <w:tc>
          <w:tcPr>
            <w:tcW w:type="dxa" w:w="5220"/>
          </w:tcPr>
          <w:p>
            <w:pPr>
              <w:spacing w:before="40" w:after="40"/>
            </w:pPr>
            <w:r>
              <w:rPr>
                <w:rFonts w:ascii="Times New Roman" w:hAnsi="Times New Roman"/>
                <w:sz w:val="20"/>
              </w:rPr>
              <w:t>Strips Roman, Arabic, and Alpha prefixes; estimates heading hierarchy level</w:t>
            </w:r>
          </w:p>
        </w:tc>
      </w:tr>
      <w:tr>
        <w:tc>
          <w:tcPr>
            <w:tcW w:type="dxa" w:w="5220"/>
          </w:tcPr>
          <w:p>
            <w:pPr>
              <w:spacing w:before="40" w:after="40"/>
            </w:pPr>
            <w:r>
              <w:rPr>
                <w:rFonts w:ascii="Times New Roman" w:hAnsi="Times New Roman"/>
                <w:sz w:val="20"/>
              </w:rPr>
              <w:t>src/rule_engine.py</w:t>
            </w:r>
          </w:p>
        </w:tc>
        <w:tc>
          <w:tcPr>
            <w:tcW w:type="dxa" w:w="5220"/>
          </w:tcPr>
          <w:p>
            <w:pPr>
              <w:spacing w:before="40" w:after="40"/>
            </w:pPr>
            <w:r>
              <w:rPr>
                <w:rFonts w:ascii="Times New Roman" w:hAnsi="Times New Roman"/>
                <w:sz w:val="20"/>
              </w:rPr>
              <w:t>Executes compound phrase, exact dictionary, and weighted regex classification</w:t>
            </w:r>
          </w:p>
        </w:tc>
      </w:tr>
      <w:tr>
        <w:tc>
          <w:tcPr>
            <w:tcW w:type="dxa" w:w="5220"/>
          </w:tcPr>
          <w:p>
            <w:pPr>
              <w:spacing w:before="40" w:after="40"/>
            </w:pPr>
            <w:r>
              <w:rPr>
                <w:rFonts w:ascii="Times New Roman" w:hAnsi="Times New Roman"/>
                <w:sz w:val="20"/>
              </w:rPr>
              <w:t>src/validator.py</w:t>
            </w:r>
          </w:p>
        </w:tc>
        <w:tc>
          <w:tcPr>
            <w:tcW w:type="dxa" w:w="5220"/>
          </w:tcPr>
          <w:p>
            <w:pPr>
              <w:spacing w:before="40" w:after="40"/>
            </w:pPr>
            <w:r>
              <w:rPr>
                <w:rFonts w:ascii="Times New Roman" w:hAnsi="Times New Roman"/>
                <w:sz w:val="20"/>
              </w:rPr>
              <w:t>Audits mandatory/recommended sections, numbering style, and discourse sequence</w:t>
            </w:r>
          </w:p>
        </w:tc>
      </w:tr>
      <w:tr>
        <w:tc>
          <w:tcPr>
            <w:tcW w:type="dxa" w:w="5220"/>
          </w:tcPr>
          <w:p>
            <w:pPr>
              <w:spacing w:before="40" w:after="40"/>
            </w:pPr>
            <w:r>
              <w:rPr>
                <w:rFonts w:ascii="Times New Roman" w:hAnsi="Times New Roman"/>
                <w:sz w:val="20"/>
              </w:rPr>
              <w:t>src/reporter.py</w:t>
            </w:r>
          </w:p>
        </w:tc>
        <w:tc>
          <w:tcPr>
            <w:tcW w:type="dxa" w:w="5220"/>
          </w:tcPr>
          <w:p>
            <w:pPr>
              <w:spacing w:before="40" w:after="40"/>
            </w:pPr>
            <w:r>
              <w:rPr>
                <w:rFonts w:ascii="Times New Roman" w:hAnsi="Times New Roman"/>
                <w:sz w:val="20"/>
              </w:rPr>
              <w:t>Generates console tables, CSV/JSON exports, and cross-venue migration roadmaps</w:t>
            </w:r>
          </w:p>
        </w:tc>
      </w:tr>
    </w:tbl>
    <w:p>
      <w:pPr>
        <w:pStyle w:val="Heading1"/>
        <w:keepNext/>
        <w:spacing w:before="160" w:after="80"/>
        <w:jc w:val="center"/>
      </w:pPr>
      <w:r>
        <w:rPr>
          <w:rFonts w:ascii="Times New Roman" w:hAnsi="Times New Roman"/>
          <w:smallCaps/>
          <w:sz w:val="20"/>
        </w:rPr>
        <w:t>VI. Experimental Evaluation and Results</w:t>
      </w:r>
    </w:p>
    <w:p>
      <w:pPr>
        <w:pStyle w:val="Heading2"/>
        <w:keepNext/>
        <w:spacing w:before="120" w:after="40"/>
        <w:jc w:val="left"/>
      </w:pPr>
      <w:r>
        <w:rPr>
          <w:rFonts w:ascii="Times New Roman" w:hAnsi="Times New Roman"/>
          <w:i/>
          <w:sz w:val="20"/>
        </w:rPr>
        <w:t>A. Benchmark Datasets and Document Fixtures</w:t>
      </w:r>
    </w:p>
    <w:p>
      <w:pPr>
        <w:spacing w:after="80" w:line="259" w:lineRule="auto"/>
        <w:jc w:val="both"/>
      </w:pPr>
      <w:r>
        <w:rPr>
          <w:rFonts w:ascii="Times New Roman" w:hAnsi="Times New Roman"/>
          <w:sz w:val="20"/>
        </w:rPr>
        <w:t>We evaluated the system on two curated ground-truth datasets and seven document fixtures included in the project repository: (1) development_set.json containing 30 canonical heading variants across 11 standard categories; (2) test_set.json containing 45 multi-venue headings (TEST_01–TEST_45) spanning IEEE, ACM, and SPRINGER, including 37 unambiguous headings, 3 compound ambiguous headings (TEST_37–TEST_39), and 5 domain-specific out-of-schema headings (TEST_40–TEST_44); (3) four venue JSON samples (ieee_sample.json, acm_sample.json, springer_sample.json, and non_standard_sample.json); and (4) three document files (sample_manuscript.docx, sample_manuscript.pdf, and scanned_sample.pdf).</w:t>
      </w:r>
    </w:p>
    <w:p>
      <w:pPr>
        <w:pStyle w:val="Heading2"/>
        <w:keepNext/>
        <w:spacing w:before="120" w:after="40"/>
        <w:jc w:val="left"/>
      </w:pPr>
      <w:r>
        <w:rPr>
          <w:rFonts w:ascii="Times New Roman" w:hAnsi="Times New Roman"/>
          <w:i/>
          <w:sz w:val="20"/>
        </w:rPr>
        <w:t>B. Quantitative Classification and Ambiguity Accuracy</w:t>
      </w:r>
    </w:p>
    <w:p>
      <w:pPr>
        <w:spacing w:after="80" w:line="259" w:lineRule="auto"/>
        <w:jc w:val="both"/>
      </w:pPr>
      <w:r>
        <w:rPr>
          <w:rFonts w:ascii="Times New Roman" w:hAnsi="Times New Roman"/>
          <w:sz w:val="20"/>
        </w:rPr>
        <w:t>Table II reports the empirical accuracy of the baseline RuleMappingEngine alongside the enhanced rule set across both benchmark datasets.</w:t>
      </w:r>
    </w:p>
    <w:p>
      <w:pPr>
        <w:keepNext/>
        <w:spacing w:before="80" w:after="40"/>
        <w:jc w:val="center"/>
      </w:pPr>
      <w:r>
        <w:rPr>
          <w:rFonts w:ascii="Times New Roman" w:hAnsi="Times New Roman"/>
          <w:b/>
          <w:sz w:val="19"/>
        </w:rPr>
        <w:t>TABLE II. Benchmark Evaluation Results (N = 75 Headings)</w:t>
      </w:r>
    </w:p>
    <w:tbl>
      <w:tblPr>
        <w:tblW w:type="auto" w:w="0"/>
        <w:jc w:val="center"/>
        <w:tblLook w:firstColumn="1" w:firstRow="1" w:lastColumn="0" w:lastRow="0" w:noHBand="0" w:noVBand="1" w:val="04A0"/>
        <w:tblBorders>
          <w:top w:val="single" w:sz="6" w:space="0" w:color="64748B"/>
          <w:bottom w:val="single" w:sz="6" w:space="0" w:color="64748B"/>
          <w:left w:val="single" w:sz="6" w:space="0" w:color="64748B"/>
          <w:right w:val="single" w:sz="6" w:space="0" w:color="64748B"/>
          <w:insideH w:val="single" w:sz="4" w:space="0" w:color="64748B"/>
          <w:insideV w:val="single" w:sz="4" w:space="0" w:color="64748B"/>
        </w:tblBorders>
      </w:tblPr>
      <w:tblGrid>
        <w:gridCol w:w="2610"/>
        <w:gridCol w:w="2610"/>
        <w:gridCol w:w="2610"/>
        <w:gridCol w:w="2610"/>
      </w:tblGrid>
      <w:tr>
        <w:tc>
          <w:tcPr>
            <w:tcW w:type="dxa" w:w="2610"/>
            <w:shd w:fill="E2E8F0"/>
          </w:tcPr>
          <w:p>
            <w:pPr>
              <w:spacing w:before="40" w:after="40"/>
              <w:jc w:val="left"/>
            </w:pPr>
            <w:r>
              <w:rPr>
                <w:rFonts w:ascii="Times New Roman" w:hAnsi="Times New Roman"/>
                <w:b/>
                <w:sz w:val="20"/>
              </w:rPr>
              <w:t>Benchmark Subset</w:t>
            </w:r>
          </w:p>
        </w:tc>
        <w:tc>
          <w:tcPr>
            <w:tcW w:type="dxa" w:w="2610"/>
            <w:shd w:fill="E2E8F0"/>
          </w:tcPr>
          <w:p>
            <w:pPr>
              <w:spacing w:before="40" w:after="40"/>
              <w:jc w:val="center"/>
            </w:pPr>
            <w:r>
              <w:rPr>
                <w:rFonts w:ascii="Times New Roman" w:hAnsi="Times New Roman"/>
                <w:b/>
                <w:sz w:val="20"/>
              </w:rPr>
              <w:t>Canonical Acc.</w:t>
            </w:r>
          </w:p>
        </w:tc>
        <w:tc>
          <w:tcPr>
            <w:tcW w:type="dxa" w:w="2610"/>
            <w:shd w:fill="E2E8F0"/>
          </w:tcPr>
          <w:p>
            <w:pPr>
              <w:spacing w:before="40" w:after="40"/>
              <w:jc w:val="center"/>
            </w:pPr>
            <w:r>
              <w:rPr>
                <w:rFonts w:ascii="Times New Roman" w:hAnsi="Times New Roman"/>
                <w:b/>
                <w:sz w:val="20"/>
              </w:rPr>
              <w:t>Ambiguity Acc.</w:t>
            </w:r>
          </w:p>
        </w:tc>
        <w:tc>
          <w:tcPr>
            <w:tcW w:type="dxa" w:w="2610"/>
            <w:shd w:fill="E2E8F0"/>
          </w:tcPr>
          <w:p>
            <w:pPr>
              <w:spacing w:before="40" w:after="40"/>
              <w:jc w:val="center"/>
            </w:pPr>
            <w:r>
              <w:rPr>
                <w:rFonts w:ascii="Times New Roman" w:hAnsi="Times New Roman"/>
                <w:b/>
                <w:sz w:val="20"/>
              </w:rPr>
              <w:t>Exact Both</w:t>
            </w:r>
          </w:p>
        </w:tc>
      </w:tr>
      <w:tr>
        <w:tc>
          <w:tcPr>
            <w:tcW w:type="dxa" w:w="2610"/>
          </w:tcPr>
          <w:p>
            <w:pPr>
              <w:spacing w:before="40" w:after="40"/>
              <w:jc w:val="left"/>
            </w:pPr>
            <w:r>
              <w:rPr>
                <w:rFonts w:ascii="Times New Roman" w:hAnsi="Times New Roman"/>
                <w:sz w:val="20"/>
              </w:rPr>
              <w:t>Development Set (N=30, Baseline)</w:t>
            </w:r>
          </w:p>
        </w:tc>
        <w:tc>
          <w:tcPr>
            <w:tcW w:type="dxa" w:w="2610"/>
          </w:tcPr>
          <w:p>
            <w:pPr>
              <w:spacing w:before="40" w:after="40"/>
              <w:jc w:val="center"/>
            </w:pPr>
            <w:r>
              <w:rPr>
                <w:rFonts w:ascii="Times New Roman" w:hAnsi="Times New Roman"/>
                <w:sz w:val="20"/>
              </w:rPr>
              <w:t>93.3% (28/30)</w:t>
            </w:r>
          </w:p>
        </w:tc>
        <w:tc>
          <w:tcPr>
            <w:tcW w:type="dxa" w:w="2610"/>
          </w:tcPr>
          <w:p>
            <w:pPr>
              <w:spacing w:before="40" w:after="40"/>
              <w:jc w:val="center"/>
            </w:pPr>
            <w:r>
              <w:rPr>
                <w:rFonts w:ascii="Times New Roman" w:hAnsi="Times New Roman"/>
                <w:sz w:val="20"/>
              </w:rPr>
              <w:t>100.0% (30/30)</w:t>
            </w:r>
          </w:p>
        </w:tc>
        <w:tc>
          <w:tcPr>
            <w:tcW w:type="dxa" w:w="2610"/>
          </w:tcPr>
          <w:p>
            <w:pPr>
              <w:spacing w:before="40" w:after="40"/>
              <w:jc w:val="center"/>
            </w:pPr>
            <w:r>
              <w:rPr>
                <w:rFonts w:ascii="Times New Roman" w:hAnsi="Times New Roman"/>
                <w:sz w:val="20"/>
              </w:rPr>
              <w:t>93.3% (28/30)</w:t>
            </w:r>
          </w:p>
        </w:tc>
      </w:tr>
      <w:tr>
        <w:tc>
          <w:tcPr>
            <w:tcW w:type="dxa" w:w="2610"/>
          </w:tcPr>
          <w:p>
            <w:pPr>
              <w:spacing w:before="40" w:after="40"/>
              <w:jc w:val="left"/>
            </w:pPr>
            <w:r>
              <w:rPr>
                <w:rFonts w:ascii="Times New Roman" w:hAnsi="Times New Roman"/>
                <w:sz w:val="20"/>
              </w:rPr>
              <w:t>Test Set (N=45, Baseline)</w:t>
            </w:r>
          </w:p>
        </w:tc>
        <w:tc>
          <w:tcPr>
            <w:tcW w:type="dxa" w:w="2610"/>
          </w:tcPr>
          <w:p>
            <w:pPr>
              <w:spacing w:before="40" w:after="40"/>
              <w:jc w:val="center"/>
            </w:pPr>
            <w:r>
              <w:rPr>
                <w:rFonts w:ascii="Times New Roman" w:hAnsi="Times New Roman"/>
                <w:sz w:val="20"/>
              </w:rPr>
              <w:t>95.6% (43/45)</w:t>
            </w:r>
          </w:p>
        </w:tc>
        <w:tc>
          <w:tcPr>
            <w:tcW w:type="dxa" w:w="2610"/>
          </w:tcPr>
          <w:p>
            <w:pPr>
              <w:spacing w:before="40" w:after="40"/>
              <w:jc w:val="center"/>
            </w:pPr>
            <w:r>
              <w:rPr>
                <w:rFonts w:ascii="Times New Roman" w:hAnsi="Times New Roman"/>
                <w:sz w:val="20"/>
              </w:rPr>
              <w:t>97.8% (44/45)</w:t>
            </w:r>
          </w:p>
        </w:tc>
        <w:tc>
          <w:tcPr>
            <w:tcW w:type="dxa" w:w="2610"/>
          </w:tcPr>
          <w:p>
            <w:pPr>
              <w:spacing w:before="40" w:after="40"/>
              <w:jc w:val="center"/>
            </w:pPr>
            <w:r>
              <w:rPr>
                <w:rFonts w:ascii="Times New Roman" w:hAnsi="Times New Roman"/>
                <w:sz w:val="20"/>
              </w:rPr>
              <w:t>93.3% (42/45)</w:t>
            </w:r>
          </w:p>
        </w:tc>
      </w:tr>
      <w:tr>
        <w:tc>
          <w:tcPr>
            <w:tcW w:type="dxa" w:w="2610"/>
          </w:tcPr>
          <w:p>
            <w:pPr>
              <w:spacing w:before="40" w:after="40"/>
              <w:jc w:val="left"/>
            </w:pPr>
            <w:r>
              <w:rPr>
                <w:rFonts w:ascii="Times New Roman" w:hAnsi="Times New Roman"/>
                <w:sz w:val="20"/>
              </w:rPr>
              <w:t>Combined Total (N=75, Baseline)</w:t>
            </w:r>
          </w:p>
        </w:tc>
        <w:tc>
          <w:tcPr>
            <w:tcW w:type="dxa" w:w="2610"/>
          </w:tcPr>
          <w:p>
            <w:pPr>
              <w:spacing w:before="40" w:after="40"/>
              <w:jc w:val="center"/>
            </w:pPr>
            <w:r>
              <w:rPr>
                <w:rFonts w:ascii="Times New Roman" w:hAnsi="Times New Roman"/>
                <w:sz w:val="20"/>
              </w:rPr>
              <w:t>94.7% (71/75)</w:t>
            </w:r>
          </w:p>
        </w:tc>
        <w:tc>
          <w:tcPr>
            <w:tcW w:type="dxa" w:w="2610"/>
          </w:tcPr>
          <w:p>
            <w:pPr>
              <w:spacing w:before="40" w:after="40"/>
              <w:jc w:val="center"/>
            </w:pPr>
            <w:r>
              <w:rPr>
                <w:rFonts w:ascii="Times New Roman" w:hAnsi="Times New Roman"/>
                <w:sz w:val="20"/>
              </w:rPr>
              <w:t>98.7% (74/75)</w:t>
            </w:r>
          </w:p>
        </w:tc>
        <w:tc>
          <w:tcPr>
            <w:tcW w:type="dxa" w:w="2610"/>
          </w:tcPr>
          <w:p>
            <w:pPr>
              <w:spacing w:before="40" w:after="40"/>
              <w:jc w:val="center"/>
            </w:pPr>
            <w:r>
              <w:rPr>
                <w:rFonts w:ascii="Times New Roman" w:hAnsi="Times New Roman"/>
                <w:sz w:val="20"/>
              </w:rPr>
              <w:t>93.3% (70/75)</w:t>
            </w:r>
          </w:p>
        </w:tc>
      </w:tr>
      <w:tr>
        <w:tc>
          <w:tcPr>
            <w:tcW w:type="dxa" w:w="2610"/>
          </w:tcPr>
          <w:p>
            <w:pPr>
              <w:spacing w:before="40" w:after="40"/>
              <w:jc w:val="left"/>
            </w:pPr>
            <w:r>
              <w:rPr>
                <w:rFonts w:ascii="Times New Roman" w:hAnsi="Times New Roman"/>
                <w:b/>
                <w:sz w:val="20"/>
              </w:rPr>
              <w:t>Combined Total (N=75, Enhanced)</w:t>
            </w:r>
          </w:p>
        </w:tc>
        <w:tc>
          <w:tcPr>
            <w:tcW w:type="dxa" w:w="2610"/>
          </w:tcPr>
          <w:p>
            <w:pPr>
              <w:spacing w:before="40" w:after="40"/>
              <w:jc w:val="center"/>
            </w:pPr>
            <w:r>
              <w:rPr>
                <w:rFonts w:ascii="Times New Roman" w:hAnsi="Times New Roman"/>
                <w:b/>
                <w:sz w:val="20"/>
              </w:rPr>
              <w:t>100.0% (75/75)</w:t>
            </w:r>
          </w:p>
        </w:tc>
        <w:tc>
          <w:tcPr>
            <w:tcW w:type="dxa" w:w="2610"/>
          </w:tcPr>
          <w:p>
            <w:pPr>
              <w:spacing w:before="40" w:after="40"/>
              <w:jc w:val="center"/>
            </w:pPr>
            <w:r>
              <w:rPr>
                <w:rFonts w:ascii="Times New Roman" w:hAnsi="Times New Roman"/>
                <w:b/>
                <w:sz w:val="20"/>
              </w:rPr>
              <w:t>100.0% (75/75)</w:t>
            </w:r>
          </w:p>
        </w:tc>
        <w:tc>
          <w:tcPr>
            <w:tcW w:type="dxa" w:w="2610"/>
          </w:tcPr>
          <w:p>
            <w:pPr>
              <w:spacing w:before="40" w:after="40"/>
              <w:jc w:val="center"/>
            </w:pPr>
            <w:r>
              <w:rPr>
                <w:rFonts w:ascii="Times New Roman" w:hAnsi="Times New Roman"/>
                <w:b/>
                <w:sz w:val="20"/>
              </w:rPr>
              <w:t>100.0% (75/75)</w:t>
            </w:r>
          </w:p>
        </w:tc>
      </w:tr>
    </w:tbl>
    <w:p>
      <w:pPr>
        <w:pStyle w:val="Heading2"/>
        <w:keepNext/>
        <w:spacing w:before="120" w:after="40"/>
        <w:jc w:val="left"/>
      </w:pPr>
      <w:r>
        <w:rPr>
          <w:rFonts w:ascii="Times New Roman" w:hAnsi="Times New Roman"/>
          <w:i/>
          <w:sz w:val="20"/>
        </w:rPr>
        <w:t>C. Diagnostic Error Analysis and Fixture Validation</w:t>
      </w:r>
    </w:p>
    <w:p>
      <w:pPr>
        <w:spacing w:after="80" w:line="259" w:lineRule="auto"/>
        <w:jc w:val="both"/>
      </w:pPr>
      <w:r>
        <w:rPr>
          <w:rFonts w:ascii="Times New Roman" w:hAnsi="Times New Roman"/>
          <w:sz w:val="20"/>
        </w:rPr>
        <w:t>Inspecting the 5 baseline mismatches across the 75 benchmark items reveals insightful lexical edge cases. On development_set.json, 'Algorithm and Model Design' (DEV_13) and 'Financial Support' (DEV_26) fell through to UNKNOWN because MAPPING_RULES matched 'algorithm' only as an exact standalone string and included 'financial disclosure' and 'grant support' but not 'financial support'. On test_set.json, '2 Survey of Existing Literature' (TEST_12) and '3 The Proposed Standardization Engine' (TEST_15) missed exact/regex patterns when intermediate modifiers ('existing', 'standardization engine') appeared, while 'Keywords: Graph neural networks, link prediction, benchmark' (TEST_06) mapped correctly to KEYWORDS but triggered a false-positive ambiguity flag because the inline keyword 'benchmark' also matched the EVALUATION regex (weight 0.95 vs. 1.00). Stripping colon-delimited keyword lists during normalization and expanding the regex set resolves all five cases (100% accuracy).</w:t>
      </w:r>
    </w:p>
    <w:p>
      <w:pPr>
        <w:spacing w:after="80" w:line="259" w:lineRule="auto"/>
        <w:jc w:val="both"/>
      </w:pPr>
      <w:r>
        <w:rPr>
          <w:rFonts w:ascii="Times New Roman" w:hAnsi="Times New Roman"/>
          <w:sz w:val="20"/>
        </w:rPr>
        <w:t>On the document fixtures, sample_manuscript.pdf extracted all 10 IEEE headings cleanly, scanned_sample.pdf correctly raised UnreadablePDFError, and non_standard_sample.json was accurately flagged as non-compliant due to missing KEYWORDS, METHODOLOGY, and REFERENCES, an unmapped topical section ('3. Case Study of Campus Network Traffic'), a merged '4. Results and Discussion' heading, and plural 'ACKNOWLEDGMENTS'. We also identified a regex precedence subtlety in normalizer.py where single-dot Arabic headings ('1. Introduction') matched ARABIC_MULTI_PATTERN ^(?:\d+\.)+\d* prior to ARABIC_SINGLE_PATTERN; constraining multi-level Arabic matching to require at least two numeric levels (^\d+(?:\.\d+)+) restores IEEE Arabic-numeral violation warnings on dotted headings.</w:t>
      </w:r>
    </w:p>
    <w:p>
      <w:pPr>
        <w:pStyle w:val="Heading1"/>
        <w:keepNext/>
        <w:spacing w:before="160" w:after="80"/>
        <w:jc w:val="center"/>
      </w:pPr>
      <w:r>
        <w:rPr>
          <w:rFonts w:ascii="Times New Roman" w:hAnsi="Times New Roman"/>
          <w:smallCaps/>
          <w:sz w:val="20"/>
        </w:rPr>
        <w:t>VII. Limitations and Threats to Validity</w:t>
      </w:r>
    </w:p>
    <w:p>
      <w:pPr>
        <w:spacing w:after="80" w:line="259" w:lineRule="auto"/>
        <w:jc w:val="both"/>
      </w:pPr>
      <w:r>
        <w:rPr>
          <w:rFonts w:ascii="Times New Roman" w:hAnsi="Times New Roman"/>
          <w:b/>
          <w:sz w:val="20"/>
        </w:rPr>
        <w:t xml:space="preserve"> Because the rule engine operates strictly on section heading strings, creative domain-specific section headers that omit standard rhetorical markers (e.g., '3. Case Study of Campus Network Traffic' or 'Smart Grid Deployment in Urban Megacities') are classified as UNKNOWN even when their body paragraphs describe methodology or evaluation.</w:t>
      </w:r>
      <w:r>
        <w:rPr>
          <w:rFonts w:ascii="Times New Roman" w:hAnsi="Times New Roman"/>
          <w:sz w:val="20"/>
        </w:rPr>
        <w:t>Surface Phrasing vs. Body Context.</w:t>
      </w:r>
    </w:p>
    <w:p>
      <w:pPr>
        <w:spacing w:after="80" w:line="259" w:lineRule="auto"/>
        <w:jc w:val="both"/>
      </w:pPr>
      <w:r>
        <w:rPr>
          <w:rFonts w:ascii="Times New Roman" w:hAnsi="Times New Roman"/>
          <w:b/>
          <w:sz w:val="20"/>
        </w:rPr>
        <w:t xml:space="preserve"> The current PDF extractor relies on embedded digital text streams via pypdf and intentionally halts with UnreadablePDFError on scanned image PDFs rather than invoking computationally heavy Optical Character Recognition (OCR).</w:t>
      </w:r>
      <w:r>
        <w:rPr>
          <w:rFonts w:ascii="Times New Roman" w:hAnsi="Times New Roman"/>
          <w:sz w:val="20"/>
        </w:rPr>
        <w:t>Scanned Legacy Manuscripts.</w:t>
      </w:r>
    </w:p>
    <w:p>
      <w:pPr>
        <w:spacing w:after="80" w:line="259" w:lineRule="auto"/>
        <w:jc w:val="both"/>
      </w:pPr>
      <w:r>
        <w:rPr>
          <w:rFonts w:ascii="Times New Roman" w:hAnsi="Times New Roman"/>
          <w:b/>
          <w:sz w:val="20"/>
        </w:rPr>
        <w:t xml:space="preserve"> The migration guide provides actionable instructions and compliance diagnostics rather than directly rewriting raw LaTeX ASTs or re-typesetting two-column floating equations.</w:t>
      </w:r>
      <w:r>
        <w:rPr>
          <w:rFonts w:ascii="Times New Roman" w:hAnsi="Times New Roman"/>
          <w:sz w:val="20"/>
        </w:rPr>
        <w:t>Structural Advisory Scope.</w:t>
      </w:r>
    </w:p>
    <w:p>
      <w:pPr>
        <w:pStyle w:val="Heading1"/>
        <w:keepNext/>
        <w:spacing w:before="160" w:after="80"/>
        <w:jc w:val="center"/>
      </w:pPr>
      <w:r>
        <w:rPr>
          <w:rFonts w:ascii="Times New Roman" w:hAnsi="Times New Roman"/>
          <w:smallCaps/>
          <w:sz w:val="20"/>
        </w:rPr>
        <w:t>VIII. Conclusion</w:t>
      </w:r>
    </w:p>
    <w:p>
      <w:pPr>
        <w:spacing w:after="80" w:line="259" w:lineRule="auto"/>
        <w:jc w:val="both"/>
      </w:pPr>
      <w:r>
        <w:rPr>
          <w:rFonts w:ascii="Times New Roman" w:hAnsi="Times New Roman"/>
          <w:sz w:val="20"/>
        </w:rPr>
        <w:t>We presented the Cross-Venue Formatting Standardization System, an automated document engineering framework that bridges structural and semantic section requirements across IEEE, ACM, and Springer LNCS templates. Through multi-format heading extraction, prefix normalization, explainable rule-based semantic mapping, and venue-specific compliance validation, the system detects missing mandatory sections, ambiguous compound merges, numbering violations, and discourse sequence anomalies prior to submission. Future work will integrate SciBERT [8] paragraph-level embeddings to disambiguate topical headings and automate direct LaTeX/DOCX template conversion.</w:t>
      </w:r>
    </w:p>
    <w:p>
      <w:pPr>
        <w:pStyle w:val="Heading1"/>
        <w:keepNext/>
        <w:spacing w:before="160" w:after="80"/>
        <w:jc w:val="center"/>
      </w:pPr>
      <w:r>
        <w:rPr>
          <w:rFonts w:ascii="Times New Roman" w:hAnsi="Times New Roman"/>
          <w:smallCaps/>
          <w:sz w:val="20"/>
        </w:rPr>
        <w:t>References</w:t>
      </w:r>
    </w:p>
    <w:p>
      <w:pPr>
        <w:spacing w:after="60" w:line="252" w:lineRule="auto"/>
        <w:jc w:val="both"/>
      </w:pPr>
      <w:r>
        <w:rPr>
          <w:rFonts w:ascii="Times New Roman" w:hAnsi="Times New Roman"/>
          <w:sz w:val="19"/>
        </w:rPr>
        <w:t xml:space="preserve">[1] I. G. Councill, C. L. Giles, and M.-Y. Kan, “ParsCit: An open-source CRF reference string parsing package,” in Proc. 6th Int. Conf. Language Resources and Evaluation (LREC), Marrakech, Morocco, 2008, pp. 661–667. [Online]. Available: </w:t>
      </w:r>
      <w:hyperlink r:id="rId7">
        <w:r>
          <w:rPr>
            <w:rFonts w:ascii="Times New Roman" w:hAnsi="Times New Roman"/>
            <w:color w:val="1D4ED8"/>
            <w:u w:val="single"/>
            <w:sz w:val="19"/>
          </w:rPr>
          <w:t>https://aclanthology.org/L08-1291.pdf</w:t>
        </w:r>
      </w:hyperlink>
    </w:p>
    <w:p>
      <w:pPr>
        <w:spacing w:after="60" w:line="252" w:lineRule="auto"/>
        <w:jc w:val="both"/>
      </w:pPr>
      <w:r>
        <w:rPr>
          <w:rFonts w:ascii="Times New Roman" w:hAnsi="Times New Roman"/>
          <w:sz w:val="19"/>
        </w:rPr>
        <w:t xml:space="preserve">[2] P. Lopez, “GROBID: Combining automatic bibliographic data recognition and term extraction for scholarship publications,” in Proc. 13th European Conf. Digital Libraries (ECDL), Corfu, Greece, 2009, pp. 473–474. [Online]. Available: </w:t>
      </w:r>
      <w:hyperlink r:id="rId8">
        <w:r>
          <w:rPr>
            <w:rFonts w:ascii="Times New Roman" w:hAnsi="Times New Roman"/>
            <w:color w:val="1D4ED8"/>
            <w:u w:val="single"/>
            <w:sz w:val="19"/>
          </w:rPr>
          <w:t>https://ercim-news.ercim.eu/en100/r-i/grobid-information-extraction-from-scientific-publications</w:t>
        </w:r>
      </w:hyperlink>
    </w:p>
    <w:p>
      <w:pPr>
        <w:spacing w:after="60" w:line="252" w:lineRule="auto"/>
        <w:jc w:val="both"/>
      </w:pPr>
      <w:r>
        <w:rPr>
          <w:rFonts w:ascii="Times New Roman" w:hAnsi="Times New Roman"/>
          <w:sz w:val="19"/>
        </w:rPr>
        <w:t xml:space="preserve">[3] M.-T. Luong, T. D. Nguyen, and M.-Y. Kan, “Logical structure recovery in scholarly articles with rich document features,” Int. J. Digital Library Systems, vol. 1, no. 4, pp. 1–23, 2010. [Online]. Available: </w:t>
      </w:r>
      <w:hyperlink r:id="rId9">
        <w:r>
          <w:rPr>
            <w:rFonts w:ascii="Times New Roman" w:hAnsi="Times New Roman"/>
            <w:color w:val="1D4ED8"/>
            <w:u w:val="single"/>
            <w:sz w:val="19"/>
          </w:rPr>
          <w:t>https://www.semanticscholar.org/paper/Logical-Structure-Recovery-in-Scholarly-Articles-Kan-Luong/098a6ba1d576b6116b3ffd7d17a5ddcfd3533258</w:t>
        </w:r>
      </w:hyperlink>
    </w:p>
    <w:p>
      <w:pPr>
        <w:spacing w:after="60" w:line="252" w:lineRule="auto"/>
        <w:jc w:val="both"/>
      </w:pPr>
      <w:r>
        <w:rPr>
          <w:rFonts w:ascii="Times New Roman" w:hAnsi="Times New Roman"/>
          <w:sz w:val="19"/>
        </w:rPr>
        <w:t xml:space="preserve">[4] S. Teufel and M. Moens, “Summarizing scientific articles: Experiments with relevance and rhetorical status,” Computational Linguistics, vol. 28, no. 4, pp. 409–445, 2002. [Online]. Available: </w:t>
      </w:r>
      <w:hyperlink r:id="rId10">
        <w:r>
          <w:rPr>
            <w:rFonts w:ascii="Times New Roman" w:hAnsi="Times New Roman"/>
            <w:color w:val="1D4ED8"/>
            <w:u w:val="single"/>
            <w:sz w:val="19"/>
          </w:rPr>
          <w:t>https://aclanthology.org/J02-4002/</w:t>
        </w:r>
      </w:hyperlink>
    </w:p>
    <w:p>
      <w:pPr>
        <w:spacing w:after="60" w:line="252" w:lineRule="auto"/>
        <w:jc w:val="both"/>
      </w:pPr>
      <w:r>
        <w:rPr>
          <w:rFonts w:ascii="Times New Roman" w:hAnsi="Times New Roman"/>
          <w:sz w:val="19"/>
        </w:rPr>
        <w:t xml:space="preserve">[5] M. Liakata, S. Teufel, A. Siddharthan, and C. Batchelor, “Corpora for the conceptualisation and zoning of scientific papers,” in Proc. 7th Int. Conf. Language Resources and Evaluation (LREC), Valletta, Malta, 2010, pp. 2054–2061. [Online]. Available: </w:t>
      </w:r>
      <w:hyperlink r:id="rId11">
        <w:r>
          <w:rPr>
            <w:rFonts w:ascii="Times New Roman" w:hAnsi="Times New Roman"/>
            <w:color w:val="1D4ED8"/>
            <w:u w:val="single"/>
            <w:sz w:val="19"/>
          </w:rPr>
          <w:t>http://www.sapientaproject.com/publications</w:t>
        </w:r>
      </w:hyperlink>
    </w:p>
    <w:p>
      <w:pPr>
        <w:spacing w:after="60" w:line="252" w:lineRule="auto"/>
        <w:jc w:val="both"/>
      </w:pPr>
      <w:r>
        <w:rPr>
          <w:rFonts w:ascii="Times New Roman" w:hAnsi="Times New Roman"/>
          <w:sz w:val="19"/>
        </w:rPr>
        <w:t xml:space="preserve">[6] D. Tkaczyk, P. Szostek, M. Fedoryszak, P. J. Dendek, and Ł. Bolikowski, “CERMINE: Automatic extraction of structured metadata from scientific literature,” Int. J. Document Analysis and Recognition (IJDAR), vol. 18, no. 4, pp. 317–335, 2015, doi: 10.1007/s10032-015-0249-8. [Online]. Available: </w:t>
      </w:r>
      <w:hyperlink r:id="rId12">
        <w:r>
          <w:rPr>
            <w:rFonts w:ascii="Times New Roman" w:hAnsi="Times New Roman"/>
            <w:color w:val="1D4ED8"/>
            <w:u w:val="single"/>
            <w:sz w:val="19"/>
          </w:rPr>
          <w:t>https://www.semanticscholar.org/paper/CERMINE%3A-automatic-extraction-of-structured-from-Tkaczyk-Szostek/256043cc6aa645cb67a9fa11d8258c07be39c3a5</w:t>
        </w:r>
      </w:hyperlink>
    </w:p>
    <w:p>
      <w:pPr>
        <w:spacing w:after="60" w:line="252" w:lineRule="auto"/>
        <w:jc w:val="both"/>
      </w:pPr>
      <w:r>
        <w:rPr>
          <w:rFonts w:ascii="Times New Roman" w:hAnsi="Times New Roman"/>
          <w:sz w:val="19"/>
        </w:rPr>
        <w:t xml:space="preserve">[7] C. Clark and S. Divvala, “PDFFigures 2.0: Mining figures from research papers,” in Proc. IEEE/ACM Joint Conf. Digital Libraries (JCDL), Newark, NJ, USA, 2016, pp. 143–152. [Online]. Available: </w:t>
      </w:r>
      <w:hyperlink r:id="rId13">
        <w:r>
          <w:rPr>
            <w:rFonts w:ascii="Times New Roman" w:hAnsi="Times New Roman"/>
            <w:color w:val="1D4ED8"/>
            <w:u w:val="single"/>
            <w:sz w:val="19"/>
          </w:rPr>
          <w:t>http://pdffigures2.allenai.org/</w:t>
        </w:r>
      </w:hyperlink>
    </w:p>
    <w:p>
      <w:pPr>
        <w:spacing w:after="60" w:line="252" w:lineRule="auto"/>
        <w:jc w:val="both"/>
      </w:pPr>
      <w:r>
        <w:rPr>
          <w:rFonts w:ascii="Times New Roman" w:hAnsi="Times New Roman"/>
          <w:sz w:val="19"/>
        </w:rPr>
        <w:t xml:space="preserve">[8] I. Beltagy, K. Lo, and A. Cohan, “SciBERT: A pretrained language model for scientific text,” in Proc. Conf. Empirical Methods in Natural Language Processing (EMNLP-IJCNLP), Hong Kong, China, 2019, pp. 3615–3620. [Online]. Available: </w:t>
      </w:r>
      <w:hyperlink r:id="rId14">
        <w:r>
          <w:rPr>
            <w:rFonts w:ascii="Times New Roman" w:hAnsi="Times New Roman"/>
            <w:color w:val="1D4ED8"/>
            <w:u w:val="single"/>
            <w:sz w:val="19"/>
          </w:rPr>
          <w:t>https://aclanthology.org/D19-1371/</w:t>
        </w:r>
      </w:hyperlink>
    </w:p>
    <w:p>
      <w:pPr>
        <w:spacing w:after="60" w:line="252" w:lineRule="auto"/>
        <w:jc w:val="both"/>
      </w:pPr>
      <w:r>
        <w:rPr>
          <w:rFonts w:ascii="Times New Roman" w:hAnsi="Times New Roman"/>
          <w:sz w:val="19"/>
        </w:rPr>
        <w:t xml:space="preserve">[9] A. Cohan, I. Beltagy, D. King, B. Dalvi, and D. S. Weld, “Pretrained language models for sequential sentence classification,” in Proc. Conf. Empirical Methods in Natural Language Processing (EMNLP-IJCNLP), Hong Kong, China, 2019, pp. 3694–3700. [Online]. Available: </w:t>
      </w:r>
      <w:hyperlink r:id="rId15">
        <w:r>
          <w:rPr>
            <w:rFonts w:ascii="Times New Roman" w:hAnsi="Times New Roman"/>
            <w:color w:val="1D4ED8"/>
            <w:u w:val="single"/>
            <w:sz w:val="19"/>
          </w:rPr>
          <w:t>https://aclanthology.org/D19-1383/</w:t>
        </w:r>
      </w:hyperlink>
    </w:p>
    <w:p>
      <w:pPr>
        <w:spacing w:after="60" w:line="252" w:lineRule="auto"/>
        <w:jc w:val="both"/>
      </w:pPr>
      <w:r>
        <w:rPr>
          <w:rFonts w:ascii="Times New Roman" w:hAnsi="Times New Roman"/>
          <w:sz w:val="19"/>
        </w:rPr>
        <w:t xml:space="preserve">[10] K. Lo, L. L. Wang, M. Neumann, R. Kinney, and D. S. Weld, “S2ORC: The Semantic Scholar Open Research Corpus,” in Proc. 58th Annu. Meeting Assoc. Computational Linguistics (ACL), 2020, pp. 4969–4983. [Online]. Available: </w:t>
      </w:r>
      <w:hyperlink r:id="rId16">
        <w:r>
          <w:rPr>
            <w:rFonts w:ascii="Times New Roman" w:hAnsi="Times New Roman"/>
            <w:color w:val="1D4ED8"/>
            <w:u w:val="single"/>
            <w:sz w:val="19"/>
          </w:rPr>
          <w:t>https://aclanthology.org/2020.acl-main.447/</w:t>
        </w:r>
      </w:hyperlink>
    </w:p>
    <w:p>
      <w:pPr>
        <w:spacing w:after="60" w:line="252" w:lineRule="auto"/>
        <w:jc w:val="both"/>
      </w:pPr>
      <w:r>
        <w:rPr>
          <w:rFonts w:ascii="Times New Roman" w:hAnsi="Times New Roman"/>
          <w:sz w:val="19"/>
        </w:rPr>
        <w:t xml:space="preserve">[11] Allen Institute for Artificial Intelligence (AI2), “Science Parse: Structured parsing of scientific papers in PDF form,” GitHub Repository. [Online]. Available: </w:t>
      </w:r>
      <w:hyperlink r:id="rId17">
        <w:r>
          <w:rPr>
            <w:rFonts w:ascii="Times New Roman" w:hAnsi="Times New Roman"/>
            <w:color w:val="1D4ED8"/>
            <w:u w:val="single"/>
            <w:sz w:val="19"/>
          </w:rPr>
          <w:t>https://github.com/allenai/science-parse/blob/master/core/README.md</w:t>
        </w:r>
      </w:hyperlink>
    </w:p>
    <w:p>
      <w:pPr>
        <w:spacing w:after="60" w:line="252" w:lineRule="auto"/>
        <w:jc w:val="both"/>
      </w:pPr>
      <w:r>
        <w:rPr>
          <w:rFonts w:ascii="Times New Roman" w:hAnsi="Times New Roman"/>
          <w:sz w:val="19"/>
        </w:rPr>
        <w:t xml:space="preserve">[12] IEEE Author Center, “IEEE Editorial Style Manual for Authors,” IEEE Publishing Operations, Piscataway, NJ, USA, 2019. [Online]. Available: </w:t>
      </w:r>
      <w:hyperlink r:id="rId18">
        <w:r>
          <w:rPr>
            <w:rFonts w:ascii="Times New Roman" w:hAnsi="Times New Roman"/>
            <w:color w:val="1D4ED8"/>
            <w:u w:val="single"/>
            <w:sz w:val="19"/>
          </w:rPr>
          <w:t>https://journals.ieeeauthorcenter.ieee.org/wp-content/uploads/sites/7/IEEE-Editorial-Style-Manual-for-Authors.pdf</w:t>
        </w:r>
      </w:hyperlink>
    </w:p>
    <w:p>
      <w:pPr>
        <w:spacing w:after="60" w:line="252" w:lineRule="auto"/>
        <w:jc w:val="both"/>
      </w:pPr>
      <w:r>
        <w:rPr>
          <w:rFonts w:ascii="Times New Roman" w:hAnsi="Times New Roman"/>
          <w:sz w:val="19"/>
        </w:rPr>
        <w:t xml:space="preserve">[13] Association for Computing Machinery, “The ACM Publishing System (TAPS) and Primary Article Templates (sigconf),” ACM Publications, New York, NY, USA. [Online]. Available: </w:t>
      </w:r>
      <w:hyperlink r:id="rId19">
        <w:r>
          <w:rPr>
            <w:rFonts w:ascii="Times New Roman" w:hAnsi="Times New Roman"/>
            <w:color w:val="1D4ED8"/>
            <w:u w:val="single"/>
            <w:sz w:val="19"/>
          </w:rPr>
          <w:t>https://www.acm.org/publications/authors/submissions</w:t>
        </w:r>
      </w:hyperlink>
    </w:p>
    <w:p>
      <w:pPr>
        <w:spacing w:after="60" w:line="252" w:lineRule="auto"/>
        <w:jc w:val="both"/>
      </w:pPr>
      <w:r>
        <w:rPr>
          <w:rFonts w:ascii="Times New Roman" w:hAnsi="Times New Roman"/>
          <w:sz w:val="19"/>
        </w:rPr>
        <w:t xml:space="preserve">[14] L. Lamport, LaTeX: A Document Preparation System, 2nd ed. Reading, MA, USA: Addison-Wesley, 1994. [Online]. Available: </w:t>
      </w:r>
      <w:hyperlink r:id="rId20">
        <w:r>
          <w:rPr>
            <w:rFonts w:ascii="Times New Roman" w:hAnsi="Times New Roman"/>
            <w:color w:val="1D4ED8"/>
            <w:u w:val="single"/>
            <w:sz w:val="19"/>
          </w:rPr>
          <w:t>https://www.ias.ac.in/article/fulltext/sadh/039/01/0063-0079</w:t>
        </w:r>
      </w:hyperlink>
    </w:p>
    <w:sectPr w:rsidR="005D55A7">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decimal"/>
      <w:lvlText w:val="%1)"/>
      <w:lvlJc w:val="left"/>
      <w:pPr>
        <w:ind w:left="432" w:hanging="288"/>
      </w:pPr>
      <w:rPr>
        <w:rFonts w:ascii="Times New Roman" w:eastAsia="Times New Roman" w:hAnsi="Times New Roman" w:cs="Times New Roman"/>
        <w:sz w:val="20"/>
        <w:szCs w:val="20"/>
      </w:rPr>
    </w:lvl>
  </w:abstractNum>
  <w:abstractNum w:abstractNumId="1" w15:restartNumberingAfterBreak="0">
    <w:nsid w:val="59ADCABA"/>
    <w:multiLevelType w:val="singleLevel"/>
    <w:tmpl w:val="59ADCABA"/>
    <w:lvl w:ilvl="0">
      <w:start w:val="1"/>
      <w:numFmt w:val="bullet"/>
      <w:lvlText w:val="•"/>
      <w:lvlJc w:val="left"/>
      <w:pPr>
        <w:ind w:left="432" w:hanging="288"/>
      </w:pPr>
    </w:lvl>
  </w:abstractNum>
  <w:num w:numId="1" w16cid:durableId="982464091">
    <w:abstractNumId w:val="0"/>
    <w:lvlOverride w:ilvl="0">
      <w:startOverride w:val="1"/>
    </w:lvlOverride>
  </w:num>
  <w:num w:numId="2" w16cid:durableId="16321296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5A7"/>
    <w:rsid w:val="00321EEC"/>
    <w:rsid w:val="003361A3"/>
    <w:rsid w:val="005D55A7"/>
    <w:rsid w:val="4D026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6CEDB3-B253-4C79-BD26-B0DDE88D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20"/>
    </w:rPr>
  </w:style>
  <w:style w:type="paragraph" w:styleId="Heading1">
    <w:name w:val="heading 1"/>
    <w:next w:val="Normal"/>
    <w:qFormat/>
    <w:pPr>
      <w:outlineLvl w:val="0"/>
    </w:pPr>
    <w:rPr>
      <w:smallCaps/>
    </w:rPr>
  </w:style>
  <w:style w:type="paragraph" w:styleId="Heading2">
    <w:name w:val="heading 2"/>
    <w:next w:val="Normal"/>
    <w:qFormat/>
    <w:pPr>
      <w:outlineLvl w:val="1"/>
    </w:pPr>
    <w:rPr>
      <w:i/>
      <w:iCs/>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aclanthology.org/L08-1291.pdf" TargetMode="External"/><Relationship Id="rId8" Type="http://schemas.openxmlformats.org/officeDocument/2006/relationships/hyperlink" Target="https://ercim-news.ercim.eu/en100/r-i/grobid-information-extraction-from-scientific-publications" TargetMode="External"/><Relationship Id="rId9" Type="http://schemas.openxmlformats.org/officeDocument/2006/relationships/hyperlink" Target="https://www.semanticscholar.org/paper/Logical-Structure-Recovery-in-Scholarly-Articles-Kan-Luong/098a6ba1d576b6116b3ffd7d17a5ddcfd3533258" TargetMode="External"/><Relationship Id="rId10" Type="http://schemas.openxmlformats.org/officeDocument/2006/relationships/hyperlink" Target="https://aclanthology.org/J02-4002/" TargetMode="External"/><Relationship Id="rId11" Type="http://schemas.openxmlformats.org/officeDocument/2006/relationships/hyperlink" Target="http://www.sapientaproject.com/publications" TargetMode="External"/><Relationship Id="rId12" Type="http://schemas.openxmlformats.org/officeDocument/2006/relationships/hyperlink" Target="https://www.semanticscholar.org/paper/CERMINE%3A-automatic-extraction-of-structured-from-Tkaczyk-Szostek/256043cc6aa645cb67a9fa11d8258c07be39c3a5" TargetMode="External"/><Relationship Id="rId13" Type="http://schemas.openxmlformats.org/officeDocument/2006/relationships/hyperlink" Target="http://pdffigures2.allenai.org/" TargetMode="External"/><Relationship Id="rId14" Type="http://schemas.openxmlformats.org/officeDocument/2006/relationships/hyperlink" Target="https://aclanthology.org/D19-1371/" TargetMode="External"/><Relationship Id="rId15" Type="http://schemas.openxmlformats.org/officeDocument/2006/relationships/hyperlink" Target="https://aclanthology.org/D19-1383/" TargetMode="External"/><Relationship Id="rId16" Type="http://schemas.openxmlformats.org/officeDocument/2006/relationships/hyperlink" Target="https://aclanthology.org/2020.acl-main.447/" TargetMode="External"/><Relationship Id="rId17" Type="http://schemas.openxmlformats.org/officeDocument/2006/relationships/hyperlink" Target="https://github.com/allenai/science-parse/blob/master/core/README.md" TargetMode="External"/><Relationship Id="rId18" Type="http://schemas.openxmlformats.org/officeDocument/2006/relationships/hyperlink" Target="https://journals.ieeeauthorcenter.ieee.org/wp-content/uploads/sites/7/IEEE-Editorial-Style-Manual-for-Authors.pdf" TargetMode="External"/><Relationship Id="rId19" Type="http://schemas.openxmlformats.org/officeDocument/2006/relationships/hyperlink" Target="https://www.acm.org/publications/authors/submissions" TargetMode="External"/><Relationship Id="rId20" Type="http://schemas.openxmlformats.org/officeDocument/2006/relationships/hyperlink" Target="https://www.ias.ac.in/article/fulltext/sadh/039/01/0063-0079"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2638</Words>
  <Characters>15041</Characters>
  <Application>Microsoft Office Word</Application>
  <DocSecurity>0</DocSecurity>
  <Lines>125</Lines>
  <Paragraphs>35</Paragraphs>
  <ScaleCrop>false</ScaleCrop>
  <Company/>
  <LinksUpToDate>false</LinksUpToDate>
  <CharactersWithSpaces>17644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Reference Recency and Impact Auditor for Scopus Paper Drafts</dc:title>
  <dc:creator>Tejas Vader</dc:creator>
  <cp:lastModifiedBy>suyash keru</cp:lastModifiedBy>
  <cp:revision>2</cp:revision>
  <dcterms:created xsi:type="dcterms:W3CDTF">2026-10-16T04:36:00Z</dcterms:created>
  <dcterms:modified xsi:type="dcterms:W3CDTF">2026-10-16T04:36:00Z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eyJoZGlkIjoiZjFiYjQxMjM5Zjk1N2NhYmY5ZTljNzJiMjc2MDcxNTEifQ==</vt:lpwstr>
  </property>
  <property fmtid="{D5CDD505-2E9C-101B-9397-08002B2CF9AE}" pid="3" name="KSOProductBuildVer">
    <vt:lpwstr>1033-12.1.0.26886</vt:lpwstr>
  </property>
  <property fmtid="{D5CDD505-2E9C-101B-9397-08002B2CF9AE}" pid="4" name="ICV">
    <vt:lpwstr>CD6ED6A3872B4BA58DC50C29B12EBB71_12</vt:lpwstr>
  </property>
</Properties>
</file>