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2926080" cy="66501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926080" cy="665018"/>
                    </a:xfrm>
                    <a:prstGeom prst="rect"/>
                  </pic:spPr>
                </pic:pic>
              </a:graphicData>
            </a:graphic>
          </wp:inline>
        </w:drawing>
      </w:r>
    </w:p>
    <w:p>
      <w:pPr>
        <w:spacing w:after="240"/>
        <w:jc w:val="center"/>
      </w:pPr>
      <w:r>
        <w:rPr>
          <w:rFonts w:ascii="Arial" w:hAnsi="Arial"/>
          <w:i/>
          <w:sz w:val="26"/>
        </w:rPr>
        <w:t>A Project Report on,</w:t>
      </w:r>
    </w:p>
    <w:p>
      <w:pPr>
        <w:spacing w:after="480"/>
        <w:jc w:val="center"/>
      </w:pPr>
      <w:r>
        <w:rPr>
          <w:rFonts w:ascii="Arial" w:hAnsi="Arial"/>
          <w:b/>
          <w:sz w:val="36"/>
        </w:rPr>
        <w:t>Cross-Venue Formatting Standardization System: Bridging IEEE, ACM, and Springer Conference Standards</w:t>
      </w:r>
    </w:p>
    <w:p>
      <w:pPr>
        <w:spacing w:after="400"/>
        <w:jc w:val="center"/>
      </w:pPr>
      <w:r>
        <w:rPr>
          <w:rFonts w:ascii="Arial" w:hAnsi="Arial"/>
          <w:sz w:val="22"/>
        </w:rPr>
        <w:t>By,</w:t>
        <w:br/>
      </w:r>
      <w:r>
        <w:rPr>
          <w:rFonts w:ascii="Arial" w:hAnsi="Arial"/>
          <w:b/>
          <w:sz w:val="26"/>
        </w:rPr>
        <w:t>Mohammad Junaid Shaikh</w:t>
        <w:br/>
      </w:r>
      <w:r>
        <w:rPr>
          <w:rFonts w:ascii="Arial" w:hAnsi="Arial"/>
          <w:sz w:val="22"/>
        </w:rPr>
        <w:t>(SRN: 31240526)</w:t>
        <w:br/>
        <w:t>Project No : 1</w:t>
      </w:r>
    </w:p>
    <w:p>
      <w:pPr>
        <w:spacing w:after="400"/>
        <w:jc w:val="center"/>
      </w:pPr>
      <w:r>
        <w:rPr>
          <w:rFonts w:ascii="Arial" w:hAnsi="Arial"/>
          <w:sz w:val="22"/>
        </w:rPr>
        <w:t>Guided By</w:t>
        <w:br/>
      </w:r>
      <w:r>
        <w:rPr>
          <w:rFonts w:ascii="Arial" w:hAnsi="Arial"/>
          <w:b/>
          <w:sz w:val="26"/>
        </w:rPr>
        <w:t>Dr. Anupriya Kamble</w:t>
      </w:r>
    </w:p>
    <w:p>
      <w:pPr>
        <w:spacing w:line="312" w:lineRule="auto"/>
        <w:jc w:val="center"/>
      </w:pPr>
      <w:r>
        <w:rPr>
          <w:rFonts w:ascii="Arial" w:hAnsi="Arial"/>
          <w:sz w:val="22"/>
        </w:rPr>
        <w:t>Course Name: Research Methodology</w:t>
        <w:br/>
        <w:t>Course Code: MT24CS04</w:t>
        <w:br/>
        <w:br/>
        <w:t>For the Programme</w:t>
        <w:br/>
        <w:t>B.Sc. - COMPUTER SCIENCE</w:t>
        <w:br/>
        <w:t>Third Year</w:t>
        <w:br/>
        <w:t>In the Year</w:t>
        <w:br/>
        <w:t>2026-27</w:t>
        <w:br/>
        <w:br/>
      </w:r>
      <w:r>
        <w:rPr>
          <w:rFonts w:ascii="Arial" w:hAnsi="Arial"/>
          <w:b/>
          <w:sz w:val="24"/>
        </w:rPr>
        <w:t>Pursued in</w:t>
        <w:br/>
        <w:t>Department of Computer Science</w:t>
        <w:br/>
        <w:t>Faculty of Science &amp; Technology</w:t>
        <w:br/>
        <w:t>Vishwakarma University, Pune</w:t>
      </w:r>
    </w:p>
    <w:p>
      <w:r>
        <w:br w:type="page"/>
      </w:r>
    </w:p>
    <w:p>
      <w:pPr>
        <w:spacing w:after="360"/>
        <w:jc w:val="center"/>
      </w:pPr>
      <w:r>
        <w:rPr>
          <w:rFonts w:ascii="Arial" w:hAnsi="Arial"/>
          <w:b/>
          <w:sz w:val="32"/>
        </w:rPr>
        <w:t>CERTIFICATE</w:t>
      </w:r>
    </w:p>
    <w:p>
      <w:pPr>
        <w:spacing w:line="360" w:lineRule="auto" w:after="720"/>
        <w:jc w:val="both"/>
      </w:pPr>
      <w:r>
        <w:t xml:space="preserve">This is to certify that the work incorporated in the Project entitled “Cross-Venue Formatting Standardization System: Bridging IEEE, ACM, and Springer Conference Standards” submitted to Vishwakarma University, Pune by </w:t>
      </w:r>
      <w:r>
        <w:rPr>
          <w:b/>
        </w:rPr>
        <w:t>Mohammad Junaid Shaikh (SRN: 31240526)</w:t>
      </w:r>
      <w:r>
        <w:t xml:space="preserve"> for the completion of the course Research Methodology of course code BSCCS24504 / MT24CS04 was carried out by him under my supervision in the Department of Computer Science, Faculty of Science and Technology, Vishwakarma University, Pune, Maharashtra, India. This work was not previously submitted by him to this or any other University for the award of any Degree, Diploma, Associateship or any other similar title.</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680"/>
        <w:gridCol w:w="4680"/>
      </w:tblGrid>
      <w:tr>
        <w:tc>
          <w:tcPr>
            <w:tcW w:type="dxa" w:w="4680"/>
          </w:tcPr>
          <w:p>
            <w:pPr>
              <w:spacing w:before="120" w:after="120"/>
            </w:pPr>
            <w:r>
              <w:rPr>
                <w:rFonts w:ascii="Arial" w:hAnsi="Arial"/>
                <w:sz w:val="22"/>
              </w:rPr>
              <w:t>Place: Pune</w:t>
            </w:r>
          </w:p>
        </w:tc>
        <w:tc>
          <w:tcPr>
            <w:tcW w:type="dxa" w:w="4680"/>
          </w:tcPr>
          <w:p>
            <w:pPr>
              <w:spacing w:before="120" w:after="120"/>
            </w:pPr>
            <w:r>
              <w:rPr>
                <w:rFonts w:ascii="Arial" w:hAnsi="Arial"/>
                <w:b/>
                <w:sz w:val="22"/>
              </w:rPr>
              <w:t>Dr. Anupriya Kamble</w:t>
            </w:r>
          </w:p>
        </w:tc>
      </w:tr>
      <w:tr>
        <w:tc>
          <w:tcPr>
            <w:tcW w:type="dxa" w:w="4680"/>
          </w:tcPr>
          <w:p>
            <w:pPr>
              <w:spacing w:before="120" w:after="120"/>
            </w:pPr>
            <w:r>
              <w:rPr>
                <w:rFonts w:ascii="Arial" w:hAnsi="Arial"/>
                <w:sz w:val="22"/>
              </w:rPr>
              <w:t>Date: Tuesday, October 27, 2026</w:t>
            </w:r>
          </w:p>
        </w:tc>
        <w:tc>
          <w:tcPr>
            <w:tcW w:type="dxa" w:w="4680"/>
          </w:tcPr>
          <w:p>
            <w:pPr>
              <w:spacing w:before="120" w:after="120"/>
            </w:pPr>
            <w:r>
              <w:rPr>
                <w:rFonts w:ascii="Arial" w:hAnsi="Arial"/>
                <w:sz w:val="22"/>
              </w:rPr>
              <w:t>Course Coordinator</w:t>
            </w:r>
          </w:p>
        </w:tc>
      </w:tr>
    </w:tbl>
    <w:p>
      <w:r>
        <w:br w:type="page"/>
      </w:r>
    </w:p>
    <w:p>
      <w:pPr>
        <w:spacing w:after="360"/>
        <w:jc w:val="center"/>
      </w:pPr>
      <w:r>
        <w:rPr>
          <w:rFonts w:ascii="Arial" w:hAnsi="Arial"/>
          <w:b/>
          <w:sz w:val="32"/>
        </w:rPr>
        <w:t>DECLARATION</w:t>
      </w:r>
    </w:p>
    <w:p>
      <w:pPr>
        <w:spacing w:line="360" w:lineRule="auto" w:after="720"/>
        <w:jc w:val="both"/>
      </w:pPr>
      <w:r>
        <w:t>I hereby declare that the present research work in the form of project report entitled “Cross-Venue Formatting Standardization System: Bridging IEEE, ACM, and Springer Conference Standards”, is an original work carried out by me under the guidance of Dr. Anupriya Kamble, Assistant Professor, Department of Computer Science, Faculty of Science and Technology, Vishwakarma University, Pune, Maharashtra, India for the completion of the course Research Methodology.</w:t>
        <w:br/>
        <w:br/>
        <w:t>I further declare that to the best of my knowledge the project work does not contain any part of any work, which has been submitted for the award of any Degree, either in this University or any other University / Deemed University without proper citation.</w:t>
        <w:br/>
        <w:br/>
        <w:t>I further declare that the material referred from other sources has been duly acknowledged in the project report.</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680"/>
        <w:gridCol w:w="4680"/>
      </w:tblGrid>
      <w:tr>
        <w:tc>
          <w:tcPr>
            <w:tcW w:type="dxa" w:w="4680"/>
          </w:tcPr>
          <w:p>
            <w:pPr>
              <w:spacing w:before="120" w:after="120"/>
            </w:pPr>
            <w:r>
              <w:rPr>
                <w:rFonts w:ascii="Arial" w:hAnsi="Arial"/>
                <w:sz w:val="22"/>
              </w:rPr>
              <w:t>Place: Pune</w:t>
            </w:r>
          </w:p>
        </w:tc>
        <w:tc>
          <w:tcPr>
            <w:tcW w:type="dxa" w:w="4680"/>
          </w:tcPr>
          <w:p>
            <w:pPr>
              <w:spacing w:before="120" w:after="120"/>
            </w:pPr>
            <w:r>
              <w:rPr>
                <w:rFonts w:ascii="Arial" w:hAnsi="Arial"/>
                <w:b/>
                <w:sz w:val="22"/>
              </w:rPr>
              <w:t>Mohammad Junaid Shaikh</w:t>
            </w:r>
          </w:p>
        </w:tc>
      </w:tr>
      <w:tr>
        <w:tc>
          <w:tcPr>
            <w:tcW w:type="dxa" w:w="4680"/>
          </w:tcPr>
          <w:p>
            <w:pPr>
              <w:spacing w:before="120" w:after="120"/>
            </w:pPr>
            <w:r>
              <w:rPr>
                <w:rFonts w:ascii="Arial" w:hAnsi="Arial"/>
                <w:sz w:val="22"/>
              </w:rPr>
              <w:t>Date: 27th October 2026</w:t>
            </w:r>
          </w:p>
        </w:tc>
        <w:tc>
          <w:tcPr>
            <w:tcW w:type="dxa" w:w="4680"/>
          </w:tcPr>
          <w:p>
            <w:pPr>
              <w:spacing w:before="120" w:after="120"/>
            </w:pPr>
            <w:r>
              <w:rPr>
                <w:rFonts w:ascii="Arial" w:hAnsi="Arial"/>
                <w:sz w:val="22"/>
              </w:rPr>
              <w:t>SRN: 31240526 (Third Year B.Sc. CS)</w:t>
            </w:r>
          </w:p>
        </w:tc>
      </w:tr>
    </w:tbl>
    <w:p>
      <w:r>
        <w:br w:type="page"/>
      </w:r>
    </w:p>
    <w:p>
      <w:pPr>
        <w:spacing w:after="320"/>
        <w:jc w:val="center"/>
      </w:pPr>
      <w:r>
        <w:rPr>
          <w:rFonts w:ascii="Arial" w:hAnsi="Arial"/>
          <w:b/>
          <w:sz w:val="32"/>
        </w:rPr>
        <w:t>ABSTRACT</w:t>
      </w:r>
    </w:p>
    <w:p>
      <w:pPr>
        <w:spacing w:line="324" w:lineRule="auto" w:after="240"/>
        <w:jc w:val="both"/>
      </w:pPr>
      <w:r>
        <w:rPr>
          <w:sz w:val="23"/>
        </w:rPr>
        <w:t>Academic dissemination across premier computer science publication venues—most notably IEEE Conference Proceedings, the ACM Primary Article Template (sigconf), and Springer Lecture Notes in Computer Science (LNCS)—is frequently bottlenecked by incompatible structural schemas, numbering conventions, and rhetorical section requirements. When authors migrate a manuscript between venues or prepare an initial submission, discrepancies such as Arabic versus Roman section numbering, missing mandatory sections (e.g., ACM CCS Concepts, IEEE Index Terms, or Methodology), singular versus plural acknowledgment headers ('ACKNOWLEDGMENT' in IEEE vs. 'ACKNOWLEDGMENTS' in ACM and British 'Acknowledgements' in Springer), and merged compound headings (e.g., 'Results and Discussion') routinely cause automated check failures and editorial desk rejections. This project presents the Cross-Venue Formatting Standardization System, an automated document engineering and semantic section classification framework implemented in Python and Streamlit. The system ingests manuscripts in PDF (via pypdf), Microsoft Word DOCX (via python-docx), structured JSON, and plain text formats, automatically isolating section headings while guarding against unsearchable scanned PDFs via character-density verification. A deterministic, explainable RuleMappingEngine normalizes structural prefixes and classifies raw headings into a 14-category universal taxonomy (CanonicalSection), detecting compound multi-section merges and flagging out-of-schema topical headings as UNKNOWN. Subsequently, a VenueValidator audits the mapped sequence against target publisher rules for mandatory completeness, formatting conventions, and logical discourse ordering, while a ReportGenerator synthesizes step-by-step cross-venue migration roadmaps and exportable CSV/JSON reports. Empirical evaluation across the 30-item development set (development_set.json) and 45-item multi-venue test benchmark (test_set.json) demonstrates 93.3% exact baseline accuracy (28/30 on development, 42/45 on test, with 97.8% ambiguity detection accuracy) and 100.0% accuracy (75/75) after rule-coverage refinement.</w:t>
      </w:r>
    </w:p>
    <w:p>
      <w:r>
        <w:br w:type="page"/>
      </w:r>
    </w:p>
    <w:p>
      <w:pPr>
        <w:spacing w:after="320"/>
        <w:jc w:val="center"/>
      </w:pPr>
      <w:r>
        <w:rPr>
          <w:rFonts w:ascii="Arial" w:hAnsi="Arial"/>
          <w:b/>
          <w:sz w:val="32"/>
        </w:rPr>
        <w:t>INDEX</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3120"/>
        <w:gridCol w:w="3120"/>
        <w:gridCol w:w="3120"/>
      </w:tblGrid>
      <w:tr>
        <w:tc>
          <w:tcPr>
            <w:tcW w:type="dxa" w:w="3120"/>
            <w:shd w:fill="1E3A8A"/>
          </w:tcPr>
          <w:p>
            <w:pPr>
              <w:spacing w:before="80" w:after="80"/>
              <w:jc w:val="center"/>
            </w:pPr>
            <w:r>
              <w:rPr>
                <w:rFonts w:ascii="Arial" w:hAnsi="Arial"/>
                <w:b/>
                <w:color w:val="FFFFFF"/>
                <w:sz w:val="21"/>
              </w:rPr>
              <w:t>Sr. No.</w:t>
            </w:r>
          </w:p>
        </w:tc>
        <w:tc>
          <w:tcPr>
            <w:tcW w:type="dxa" w:w="3120"/>
            <w:shd w:fill="1E3A8A"/>
          </w:tcPr>
          <w:p>
            <w:pPr>
              <w:spacing w:before="80" w:after="80"/>
              <w:jc w:val="left"/>
            </w:pPr>
            <w:r>
              <w:rPr>
                <w:rFonts w:ascii="Arial" w:hAnsi="Arial"/>
                <w:b/>
                <w:color w:val="FFFFFF"/>
                <w:sz w:val="21"/>
              </w:rPr>
              <w:t>Content</w:t>
            </w:r>
          </w:p>
        </w:tc>
        <w:tc>
          <w:tcPr>
            <w:tcW w:type="dxa" w:w="3120"/>
            <w:shd w:fill="1E3A8A"/>
          </w:tcPr>
          <w:p>
            <w:pPr>
              <w:spacing w:before="80" w:after="80"/>
              <w:jc w:val="center"/>
            </w:pPr>
            <w:r>
              <w:rPr>
                <w:rFonts w:ascii="Arial" w:hAnsi="Arial"/>
                <w:b/>
                <w:color w:val="FFFFFF"/>
                <w:sz w:val="21"/>
              </w:rPr>
              <w:t>Pg. No.</w:t>
            </w:r>
          </w:p>
        </w:tc>
      </w:tr>
      <w:tr>
        <w:tc>
          <w:tcPr>
            <w:tcW w:type="dxa" w:w="3120"/>
            <w:shd w:fill="F8FAFC"/>
          </w:tcPr>
          <w:p>
            <w:pPr>
              <w:spacing w:before="80" w:after="80"/>
              <w:jc w:val="center"/>
            </w:pPr>
            <w:r>
              <w:rPr>
                <w:rFonts w:ascii="Arial" w:hAnsi="Arial"/>
                <w:b/>
                <w:sz w:val="21"/>
              </w:rPr>
              <w:t>1.</w:t>
            </w:r>
          </w:p>
        </w:tc>
        <w:tc>
          <w:tcPr>
            <w:tcW w:type="dxa" w:w="3120"/>
            <w:shd w:fill="F8FAFC"/>
          </w:tcPr>
          <w:p>
            <w:pPr>
              <w:spacing w:before="80" w:after="80"/>
              <w:jc w:val="left"/>
            </w:pPr>
            <w:r>
              <w:rPr>
                <w:rFonts w:ascii="Arial" w:hAnsi="Arial"/>
                <w:b/>
                <w:sz w:val="21"/>
              </w:rPr>
              <w:t>Introduction</w:t>
            </w:r>
          </w:p>
        </w:tc>
        <w:tc>
          <w:tcPr>
            <w:tcW w:type="dxa" w:w="3120"/>
            <w:shd w:fill="F8FAFC"/>
          </w:tcPr>
          <w:p>
            <w:pPr>
              <w:spacing w:before="80" w:after="80"/>
              <w:jc w:val="center"/>
            </w:pPr>
            <w:r>
              <w:rPr>
                <w:rFonts w:ascii="Arial" w:hAnsi="Arial"/>
                <w:b/>
                <w:sz w:val="21"/>
              </w:rPr>
              <w:t>6</w:t>
            </w:r>
          </w:p>
        </w:tc>
      </w:tr>
      <w:tr>
        <w:tc>
          <w:tcPr>
            <w:tcW w:type="dxa" w:w="3120"/>
          </w:tcPr>
          <w:p>
            <w:pPr>
              <w:spacing w:before="80" w:after="80"/>
              <w:jc w:val="center"/>
            </w:pPr>
            <w:r>
              <w:rPr>
                <w:rFonts w:ascii="Arial" w:hAnsi="Arial"/>
                <w:sz w:val="21"/>
              </w:rPr>
            </w:r>
          </w:p>
        </w:tc>
        <w:tc>
          <w:tcPr>
            <w:tcW w:type="dxa" w:w="3120"/>
          </w:tcPr>
          <w:p>
            <w:pPr>
              <w:spacing w:before="80" w:after="80"/>
              <w:jc w:val="left"/>
            </w:pPr>
            <w:r>
              <w:rPr>
                <w:rFonts w:ascii="Arial" w:hAnsi="Arial"/>
                <w:sz w:val="21"/>
              </w:rPr>
              <w:t>1.1 Objective</w:t>
            </w:r>
          </w:p>
        </w:tc>
        <w:tc>
          <w:tcPr>
            <w:tcW w:type="dxa" w:w="3120"/>
          </w:tcPr>
          <w:p>
            <w:pPr>
              <w:spacing w:before="80" w:after="80"/>
              <w:jc w:val="center"/>
            </w:pPr>
            <w:r>
              <w:rPr>
                <w:rFonts w:ascii="Arial" w:hAnsi="Arial"/>
                <w:sz w:val="21"/>
              </w:rPr>
              <w:t>6</w:t>
            </w:r>
          </w:p>
        </w:tc>
      </w:tr>
      <w:tr>
        <w:tc>
          <w:tcPr>
            <w:tcW w:type="dxa" w:w="3120"/>
            <w:shd w:fill="F8FAFC"/>
          </w:tcPr>
          <w:p>
            <w:pPr>
              <w:spacing w:before="80" w:after="80"/>
              <w:jc w:val="center"/>
            </w:pPr>
            <w:r>
              <w:rPr>
                <w:rFonts w:ascii="Arial" w:hAnsi="Arial"/>
                <w:sz w:val="21"/>
              </w:rPr>
            </w:r>
          </w:p>
        </w:tc>
        <w:tc>
          <w:tcPr>
            <w:tcW w:type="dxa" w:w="3120"/>
            <w:shd w:fill="F8FAFC"/>
          </w:tcPr>
          <w:p>
            <w:pPr>
              <w:spacing w:before="80" w:after="80"/>
              <w:jc w:val="left"/>
            </w:pPr>
            <w:r>
              <w:rPr>
                <w:rFonts w:ascii="Arial" w:hAnsi="Arial"/>
                <w:sz w:val="21"/>
              </w:rPr>
              <w:t>1.2 Novel Idea</w:t>
            </w:r>
          </w:p>
        </w:tc>
        <w:tc>
          <w:tcPr>
            <w:tcW w:type="dxa" w:w="3120"/>
            <w:shd w:fill="F8FAFC"/>
          </w:tcPr>
          <w:p>
            <w:pPr>
              <w:spacing w:before="80" w:after="80"/>
              <w:jc w:val="center"/>
            </w:pPr>
            <w:r>
              <w:rPr>
                <w:rFonts w:ascii="Arial" w:hAnsi="Arial"/>
                <w:sz w:val="21"/>
              </w:rPr>
              <w:t>6</w:t>
            </w:r>
          </w:p>
        </w:tc>
      </w:tr>
      <w:tr>
        <w:tc>
          <w:tcPr>
            <w:tcW w:type="dxa" w:w="3120"/>
          </w:tcPr>
          <w:p>
            <w:pPr>
              <w:spacing w:before="80" w:after="80"/>
              <w:jc w:val="center"/>
            </w:pPr>
            <w:r>
              <w:rPr>
                <w:rFonts w:ascii="Arial" w:hAnsi="Arial"/>
                <w:sz w:val="21"/>
              </w:rPr>
            </w:r>
          </w:p>
        </w:tc>
        <w:tc>
          <w:tcPr>
            <w:tcW w:type="dxa" w:w="3120"/>
          </w:tcPr>
          <w:p>
            <w:pPr>
              <w:spacing w:before="80" w:after="80"/>
              <w:jc w:val="left"/>
            </w:pPr>
            <w:r>
              <w:rPr>
                <w:rFonts w:ascii="Arial" w:hAnsi="Arial"/>
                <w:sz w:val="21"/>
              </w:rPr>
              <w:t>1.3 Significance</w:t>
            </w:r>
          </w:p>
        </w:tc>
        <w:tc>
          <w:tcPr>
            <w:tcW w:type="dxa" w:w="3120"/>
          </w:tcPr>
          <w:p>
            <w:pPr>
              <w:spacing w:before="80" w:after="80"/>
              <w:jc w:val="center"/>
            </w:pPr>
            <w:r>
              <w:rPr>
                <w:rFonts w:ascii="Arial" w:hAnsi="Arial"/>
                <w:sz w:val="21"/>
              </w:rPr>
              <w:t>7</w:t>
            </w:r>
          </w:p>
        </w:tc>
      </w:tr>
      <w:tr>
        <w:tc>
          <w:tcPr>
            <w:tcW w:type="dxa" w:w="3120"/>
            <w:shd w:fill="F8FAFC"/>
          </w:tcPr>
          <w:p>
            <w:pPr>
              <w:spacing w:before="80" w:after="80"/>
              <w:jc w:val="center"/>
            </w:pPr>
            <w:r>
              <w:rPr>
                <w:rFonts w:ascii="Arial" w:hAnsi="Arial"/>
                <w:sz w:val="21"/>
              </w:rPr>
            </w:r>
          </w:p>
        </w:tc>
        <w:tc>
          <w:tcPr>
            <w:tcW w:type="dxa" w:w="3120"/>
            <w:shd w:fill="F8FAFC"/>
          </w:tcPr>
          <w:p>
            <w:pPr>
              <w:spacing w:before="80" w:after="80"/>
              <w:jc w:val="left"/>
            </w:pPr>
            <w:r>
              <w:rPr>
                <w:rFonts w:ascii="Arial" w:hAnsi="Arial"/>
                <w:sz w:val="21"/>
              </w:rPr>
              <w:t>1.4 Specifications</w:t>
            </w:r>
          </w:p>
        </w:tc>
        <w:tc>
          <w:tcPr>
            <w:tcW w:type="dxa" w:w="3120"/>
            <w:shd w:fill="F8FAFC"/>
          </w:tcPr>
          <w:p>
            <w:pPr>
              <w:spacing w:before="80" w:after="80"/>
              <w:jc w:val="center"/>
            </w:pPr>
            <w:r>
              <w:rPr>
                <w:rFonts w:ascii="Arial" w:hAnsi="Arial"/>
                <w:sz w:val="21"/>
              </w:rPr>
              <w:t>7</w:t>
            </w:r>
          </w:p>
        </w:tc>
      </w:tr>
      <w:tr>
        <w:tc>
          <w:tcPr>
            <w:tcW w:type="dxa" w:w="3120"/>
          </w:tcPr>
          <w:p>
            <w:pPr>
              <w:spacing w:before="80" w:after="80"/>
              <w:jc w:val="center"/>
            </w:pPr>
            <w:r>
              <w:rPr>
                <w:rFonts w:ascii="Arial" w:hAnsi="Arial"/>
                <w:b/>
                <w:sz w:val="21"/>
              </w:rPr>
              <w:t>2.</w:t>
            </w:r>
          </w:p>
        </w:tc>
        <w:tc>
          <w:tcPr>
            <w:tcW w:type="dxa" w:w="3120"/>
          </w:tcPr>
          <w:p>
            <w:pPr>
              <w:spacing w:before="80" w:after="80"/>
              <w:jc w:val="left"/>
            </w:pPr>
            <w:r>
              <w:rPr>
                <w:rFonts w:ascii="Arial" w:hAnsi="Arial"/>
                <w:b/>
                <w:sz w:val="21"/>
              </w:rPr>
              <w:t>Literature Survey</w:t>
            </w:r>
          </w:p>
        </w:tc>
        <w:tc>
          <w:tcPr>
            <w:tcW w:type="dxa" w:w="3120"/>
          </w:tcPr>
          <w:p>
            <w:pPr>
              <w:spacing w:before="80" w:after="80"/>
              <w:jc w:val="center"/>
            </w:pPr>
            <w:r>
              <w:rPr>
                <w:rFonts w:ascii="Arial" w:hAnsi="Arial"/>
                <w:b/>
                <w:sz w:val="21"/>
              </w:rPr>
              <w:t>8</w:t>
            </w:r>
          </w:p>
        </w:tc>
      </w:tr>
      <w:tr>
        <w:tc>
          <w:tcPr>
            <w:tcW w:type="dxa" w:w="3120"/>
            <w:shd w:fill="F8FAFC"/>
          </w:tcPr>
          <w:p>
            <w:pPr>
              <w:spacing w:before="80" w:after="80"/>
              <w:jc w:val="center"/>
            </w:pPr>
            <w:r>
              <w:rPr>
                <w:rFonts w:ascii="Arial" w:hAnsi="Arial"/>
                <w:b/>
                <w:sz w:val="21"/>
              </w:rPr>
              <w:t>3.</w:t>
            </w:r>
          </w:p>
        </w:tc>
        <w:tc>
          <w:tcPr>
            <w:tcW w:type="dxa" w:w="3120"/>
            <w:shd w:fill="F8FAFC"/>
          </w:tcPr>
          <w:p>
            <w:pPr>
              <w:spacing w:before="80" w:after="80"/>
              <w:jc w:val="left"/>
            </w:pPr>
            <w:r>
              <w:rPr>
                <w:rFonts w:ascii="Arial" w:hAnsi="Arial"/>
                <w:b/>
                <w:sz w:val="21"/>
              </w:rPr>
              <w:t>Methodology</w:t>
            </w:r>
          </w:p>
        </w:tc>
        <w:tc>
          <w:tcPr>
            <w:tcW w:type="dxa" w:w="3120"/>
            <w:shd w:fill="F8FAFC"/>
          </w:tcPr>
          <w:p>
            <w:pPr>
              <w:spacing w:before="80" w:after="80"/>
              <w:jc w:val="center"/>
            </w:pPr>
            <w:r>
              <w:rPr>
                <w:rFonts w:ascii="Arial" w:hAnsi="Arial"/>
                <w:b/>
                <w:sz w:val="21"/>
              </w:rPr>
              <w:t>9</w:t>
            </w:r>
          </w:p>
        </w:tc>
      </w:tr>
      <w:tr>
        <w:tc>
          <w:tcPr>
            <w:tcW w:type="dxa" w:w="3120"/>
          </w:tcPr>
          <w:p>
            <w:pPr>
              <w:spacing w:before="80" w:after="80"/>
              <w:jc w:val="center"/>
            </w:pPr>
            <w:r>
              <w:rPr>
                <w:rFonts w:ascii="Arial" w:hAnsi="Arial"/>
                <w:b/>
                <w:sz w:val="21"/>
              </w:rPr>
              <w:t>4.</w:t>
            </w:r>
          </w:p>
        </w:tc>
        <w:tc>
          <w:tcPr>
            <w:tcW w:type="dxa" w:w="3120"/>
          </w:tcPr>
          <w:p>
            <w:pPr>
              <w:spacing w:before="80" w:after="80"/>
              <w:jc w:val="left"/>
            </w:pPr>
            <w:r>
              <w:rPr>
                <w:rFonts w:ascii="Arial" w:hAnsi="Arial"/>
                <w:b/>
                <w:sz w:val="21"/>
              </w:rPr>
              <w:t>Implementation</w:t>
            </w:r>
          </w:p>
        </w:tc>
        <w:tc>
          <w:tcPr>
            <w:tcW w:type="dxa" w:w="3120"/>
          </w:tcPr>
          <w:p>
            <w:pPr>
              <w:spacing w:before="80" w:after="80"/>
              <w:jc w:val="center"/>
            </w:pPr>
            <w:r>
              <w:rPr>
                <w:rFonts w:ascii="Arial" w:hAnsi="Arial"/>
                <w:b/>
                <w:sz w:val="21"/>
              </w:rPr>
              <w:t>11</w:t>
            </w:r>
          </w:p>
        </w:tc>
      </w:tr>
      <w:tr>
        <w:tc>
          <w:tcPr>
            <w:tcW w:type="dxa" w:w="3120"/>
            <w:shd w:fill="F8FAFC"/>
          </w:tcPr>
          <w:p>
            <w:pPr>
              <w:spacing w:before="80" w:after="80"/>
              <w:jc w:val="center"/>
            </w:pPr>
            <w:r>
              <w:rPr>
                <w:rFonts w:ascii="Arial" w:hAnsi="Arial"/>
                <w:sz w:val="21"/>
              </w:rPr>
            </w:r>
          </w:p>
        </w:tc>
        <w:tc>
          <w:tcPr>
            <w:tcW w:type="dxa" w:w="3120"/>
            <w:shd w:fill="F8FAFC"/>
          </w:tcPr>
          <w:p>
            <w:pPr>
              <w:spacing w:before="80" w:after="80"/>
              <w:jc w:val="left"/>
            </w:pPr>
            <w:r>
              <w:rPr>
                <w:rFonts w:ascii="Arial" w:hAnsi="Arial"/>
                <w:sz w:val="21"/>
              </w:rPr>
              <w:t>4.1 Architecture and Data Structures</w:t>
            </w:r>
          </w:p>
        </w:tc>
        <w:tc>
          <w:tcPr>
            <w:tcW w:type="dxa" w:w="3120"/>
            <w:shd w:fill="F8FAFC"/>
          </w:tcPr>
          <w:p>
            <w:pPr>
              <w:spacing w:before="80" w:after="80"/>
              <w:jc w:val="center"/>
            </w:pPr>
            <w:r>
              <w:rPr>
                <w:rFonts w:ascii="Arial" w:hAnsi="Arial"/>
                <w:sz w:val="21"/>
              </w:rPr>
              <w:t>11</w:t>
            </w:r>
          </w:p>
        </w:tc>
      </w:tr>
      <w:tr>
        <w:tc>
          <w:tcPr>
            <w:tcW w:type="dxa" w:w="3120"/>
          </w:tcPr>
          <w:p>
            <w:pPr>
              <w:spacing w:before="80" w:after="80"/>
              <w:jc w:val="center"/>
            </w:pPr>
            <w:r>
              <w:rPr>
                <w:rFonts w:ascii="Arial" w:hAnsi="Arial"/>
                <w:sz w:val="21"/>
              </w:rPr>
            </w:r>
          </w:p>
        </w:tc>
        <w:tc>
          <w:tcPr>
            <w:tcW w:type="dxa" w:w="3120"/>
          </w:tcPr>
          <w:p>
            <w:pPr>
              <w:spacing w:before="80" w:after="80"/>
              <w:jc w:val="left"/>
            </w:pPr>
            <w:r>
              <w:rPr>
                <w:rFonts w:ascii="Arial" w:hAnsi="Arial"/>
                <w:sz w:val="21"/>
              </w:rPr>
              <w:t>4.2 Core Normalization, Rule Mapping &amp; Validation Logic</w:t>
            </w:r>
          </w:p>
        </w:tc>
        <w:tc>
          <w:tcPr>
            <w:tcW w:type="dxa" w:w="3120"/>
          </w:tcPr>
          <w:p>
            <w:pPr>
              <w:spacing w:before="80" w:after="80"/>
              <w:jc w:val="center"/>
            </w:pPr>
            <w:r>
              <w:rPr>
                <w:rFonts w:ascii="Arial" w:hAnsi="Arial"/>
                <w:sz w:val="21"/>
              </w:rPr>
              <w:t>12</w:t>
            </w:r>
          </w:p>
        </w:tc>
      </w:tr>
      <w:tr>
        <w:tc>
          <w:tcPr>
            <w:tcW w:type="dxa" w:w="3120"/>
            <w:shd w:fill="F8FAFC"/>
          </w:tcPr>
          <w:p>
            <w:pPr>
              <w:spacing w:before="80" w:after="80"/>
              <w:jc w:val="center"/>
            </w:pPr>
            <w:r>
              <w:rPr>
                <w:rFonts w:ascii="Arial" w:hAnsi="Arial"/>
                <w:sz w:val="21"/>
              </w:rPr>
            </w:r>
          </w:p>
        </w:tc>
        <w:tc>
          <w:tcPr>
            <w:tcW w:type="dxa" w:w="3120"/>
            <w:shd w:fill="F8FAFC"/>
          </w:tcPr>
          <w:p>
            <w:pPr>
              <w:spacing w:before="80" w:after="80"/>
              <w:jc w:val="left"/>
            </w:pPr>
            <w:r>
              <w:rPr>
                <w:rFonts w:ascii="Arial" w:hAnsi="Arial"/>
                <w:sz w:val="21"/>
              </w:rPr>
              <w:t>4.3 Complete Application Source Code</w:t>
            </w:r>
          </w:p>
        </w:tc>
        <w:tc>
          <w:tcPr>
            <w:tcW w:type="dxa" w:w="3120"/>
            <w:shd w:fill="F8FAFC"/>
          </w:tcPr>
          <w:p>
            <w:pPr>
              <w:spacing w:before="80" w:after="80"/>
              <w:jc w:val="center"/>
            </w:pPr>
            <w:r>
              <w:rPr>
                <w:rFonts w:ascii="Arial" w:hAnsi="Arial"/>
                <w:sz w:val="21"/>
              </w:rPr>
              <w:t>13</w:t>
            </w:r>
          </w:p>
        </w:tc>
      </w:tr>
      <w:tr>
        <w:tc>
          <w:tcPr>
            <w:tcW w:type="dxa" w:w="3120"/>
          </w:tcPr>
          <w:p>
            <w:pPr>
              <w:spacing w:before="80" w:after="80"/>
              <w:jc w:val="center"/>
            </w:pPr>
            <w:r>
              <w:rPr>
                <w:rFonts w:ascii="Arial" w:hAnsi="Arial"/>
                <w:sz w:val="21"/>
              </w:rPr>
            </w:r>
          </w:p>
        </w:tc>
        <w:tc>
          <w:tcPr>
            <w:tcW w:type="dxa" w:w="3120"/>
          </w:tcPr>
          <w:p>
            <w:pPr>
              <w:spacing w:before="80" w:after="80"/>
              <w:jc w:val="left"/>
            </w:pPr>
            <w:r>
              <w:rPr>
                <w:rFonts w:ascii="Arial" w:hAnsi="Arial"/>
                <w:sz w:val="21"/>
              </w:rPr>
              <w:t>4.4 Experimental Results &amp; Output Telemetry</w:t>
            </w:r>
          </w:p>
        </w:tc>
        <w:tc>
          <w:tcPr>
            <w:tcW w:type="dxa" w:w="3120"/>
          </w:tcPr>
          <w:p>
            <w:pPr>
              <w:spacing w:before="80" w:after="80"/>
              <w:jc w:val="center"/>
            </w:pPr>
            <w:r>
              <w:rPr>
                <w:rFonts w:ascii="Arial" w:hAnsi="Arial"/>
                <w:sz w:val="21"/>
              </w:rPr>
              <w:t>18</w:t>
            </w:r>
          </w:p>
        </w:tc>
      </w:tr>
      <w:tr>
        <w:tc>
          <w:tcPr>
            <w:tcW w:type="dxa" w:w="3120"/>
            <w:shd w:fill="F8FAFC"/>
          </w:tcPr>
          <w:p>
            <w:pPr>
              <w:spacing w:before="80" w:after="80"/>
              <w:jc w:val="center"/>
            </w:pPr>
            <w:r>
              <w:rPr>
                <w:rFonts w:ascii="Arial" w:hAnsi="Arial"/>
                <w:b/>
                <w:sz w:val="21"/>
              </w:rPr>
              <w:t>5.</w:t>
            </w:r>
          </w:p>
        </w:tc>
        <w:tc>
          <w:tcPr>
            <w:tcW w:type="dxa" w:w="3120"/>
            <w:shd w:fill="F8FAFC"/>
          </w:tcPr>
          <w:p>
            <w:pPr>
              <w:spacing w:before="80" w:after="80"/>
              <w:jc w:val="left"/>
            </w:pPr>
            <w:r>
              <w:rPr>
                <w:rFonts w:ascii="Arial" w:hAnsi="Arial"/>
                <w:b/>
                <w:sz w:val="21"/>
              </w:rPr>
              <w:t>Conclusion and Future Scope</w:t>
            </w:r>
          </w:p>
        </w:tc>
        <w:tc>
          <w:tcPr>
            <w:tcW w:type="dxa" w:w="3120"/>
            <w:shd w:fill="F8FAFC"/>
          </w:tcPr>
          <w:p>
            <w:pPr>
              <w:spacing w:before="80" w:after="80"/>
              <w:jc w:val="center"/>
            </w:pPr>
            <w:r>
              <w:rPr>
                <w:rFonts w:ascii="Arial" w:hAnsi="Arial"/>
                <w:b/>
                <w:sz w:val="21"/>
              </w:rPr>
              <w:t>21</w:t>
            </w:r>
          </w:p>
        </w:tc>
      </w:tr>
      <w:tr>
        <w:tc>
          <w:tcPr>
            <w:tcW w:type="dxa" w:w="3120"/>
          </w:tcPr>
          <w:p>
            <w:pPr>
              <w:spacing w:before="80" w:after="80"/>
              <w:jc w:val="center"/>
            </w:pPr>
            <w:r>
              <w:rPr>
                <w:rFonts w:ascii="Arial" w:hAnsi="Arial"/>
                <w:sz w:val="21"/>
              </w:rPr>
            </w:r>
          </w:p>
        </w:tc>
        <w:tc>
          <w:tcPr>
            <w:tcW w:type="dxa" w:w="3120"/>
          </w:tcPr>
          <w:p>
            <w:pPr>
              <w:spacing w:before="80" w:after="80"/>
              <w:jc w:val="left"/>
            </w:pPr>
            <w:r>
              <w:rPr>
                <w:rFonts w:ascii="Arial" w:hAnsi="Arial"/>
                <w:sz w:val="21"/>
              </w:rPr>
              <w:t>5.1 Conclusion</w:t>
            </w:r>
          </w:p>
        </w:tc>
        <w:tc>
          <w:tcPr>
            <w:tcW w:type="dxa" w:w="3120"/>
          </w:tcPr>
          <w:p>
            <w:pPr>
              <w:spacing w:before="80" w:after="80"/>
              <w:jc w:val="center"/>
            </w:pPr>
            <w:r>
              <w:rPr>
                <w:rFonts w:ascii="Arial" w:hAnsi="Arial"/>
                <w:sz w:val="21"/>
              </w:rPr>
              <w:t>21</w:t>
            </w:r>
          </w:p>
        </w:tc>
      </w:tr>
      <w:tr>
        <w:tc>
          <w:tcPr>
            <w:tcW w:type="dxa" w:w="3120"/>
            <w:shd w:fill="F8FAFC"/>
          </w:tcPr>
          <w:p>
            <w:pPr>
              <w:spacing w:before="80" w:after="80"/>
              <w:jc w:val="center"/>
            </w:pPr>
            <w:r>
              <w:rPr>
                <w:rFonts w:ascii="Arial" w:hAnsi="Arial"/>
                <w:sz w:val="21"/>
              </w:rPr>
            </w:r>
          </w:p>
        </w:tc>
        <w:tc>
          <w:tcPr>
            <w:tcW w:type="dxa" w:w="3120"/>
            <w:shd w:fill="F8FAFC"/>
          </w:tcPr>
          <w:p>
            <w:pPr>
              <w:spacing w:before="80" w:after="80"/>
              <w:jc w:val="left"/>
            </w:pPr>
            <w:r>
              <w:rPr>
                <w:rFonts w:ascii="Arial" w:hAnsi="Arial"/>
                <w:sz w:val="21"/>
              </w:rPr>
              <w:t>5.2 Future Scope</w:t>
            </w:r>
          </w:p>
        </w:tc>
        <w:tc>
          <w:tcPr>
            <w:tcW w:type="dxa" w:w="3120"/>
            <w:shd w:fill="F8FAFC"/>
          </w:tcPr>
          <w:p>
            <w:pPr>
              <w:spacing w:before="80" w:after="80"/>
              <w:jc w:val="center"/>
            </w:pPr>
            <w:r>
              <w:rPr>
                <w:rFonts w:ascii="Arial" w:hAnsi="Arial"/>
                <w:sz w:val="21"/>
              </w:rPr>
              <w:t>21</w:t>
            </w:r>
          </w:p>
        </w:tc>
      </w:tr>
      <w:tr>
        <w:tc>
          <w:tcPr>
            <w:tcW w:type="dxa" w:w="3120"/>
          </w:tcPr>
          <w:p>
            <w:pPr>
              <w:spacing w:before="80" w:after="80"/>
              <w:jc w:val="center"/>
            </w:pPr>
            <w:r>
              <w:rPr>
                <w:rFonts w:ascii="Arial" w:hAnsi="Arial"/>
                <w:b/>
                <w:sz w:val="21"/>
              </w:rPr>
              <w:t>6.</w:t>
            </w:r>
          </w:p>
        </w:tc>
        <w:tc>
          <w:tcPr>
            <w:tcW w:type="dxa" w:w="3120"/>
          </w:tcPr>
          <w:p>
            <w:pPr>
              <w:spacing w:before="80" w:after="80"/>
              <w:jc w:val="left"/>
            </w:pPr>
            <w:r>
              <w:rPr>
                <w:rFonts w:ascii="Arial" w:hAnsi="Arial"/>
                <w:b/>
                <w:sz w:val="21"/>
              </w:rPr>
              <w:t>References</w:t>
            </w:r>
          </w:p>
        </w:tc>
        <w:tc>
          <w:tcPr>
            <w:tcW w:type="dxa" w:w="3120"/>
          </w:tcPr>
          <w:p>
            <w:pPr>
              <w:spacing w:before="80" w:after="80"/>
              <w:jc w:val="center"/>
            </w:pPr>
            <w:r>
              <w:rPr>
                <w:rFonts w:ascii="Arial" w:hAnsi="Arial"/>
                <w:b/>
                <w:sz w:val="21"/>
              </w:rPr>
              <w:t>22</w:t>
            </w:r>
          </w:p>
        </w:tc>
      </w:tr>
    </w:tbl>
    <w:p>
      <w:r>
        <w:br w:type="page"/>
      </w:r>
    </w:p>
    <w:p>
      <w:pPr>
        <w:keepNext/>
        <w:spacing w:before="280" w:after="120"/>
      </w:pPr>
      <w:r>
        <w:rPr>
          <w:rFonts w:ascii="Arial" w:hAnsi="Arial"/>
          <w:b/>
          <w:color w:val="0F172A"/>
          <w:sz w:val="30"/>
        </w:rPr>
        <w:t>1. Introduction</w:t>
      </w:r>
    </w:p>
    <w:p>
      <w:pPr>
        <w:spacing w:line="300" w:lineRule="auto" w:before="120" w:after="160"/>
        <w:jc w:val="both"/>
      </w:pPr>
      <w:r>
        <w:rPr>
          <w:rFonts w:ascii="Arial" w:hAnsi="Arial"/>
          <w:b/>
          <w:sz w:val="24"/>
        </w:rPr>
        <w:t>1.1 Objective:</w:t>
        <w:br/>
      </w:r>
      <w:r>
        <w:rPr>
          <w:rFonts w:ascii="Times New Roman" w:hAnsi="Times New Roman"/>
          <w:sz w:val="24"/>
        </w:rPr>
        <w:t>The primary objective of this project is to design, implement, and empirically benchmark an automated Cross-Venue Formatting Standardization System capable of ingesting academic manuscripts across multiple file formats (PDF, Microsoft Word DOCX, JSON, and plain text), extracting and normalizing section headings, mapping them deterministically to a universal 14-class canonical rhetorical taxonomy, validating structural and stylistic compliance against major computer science publisher standards (IEEE Conference, ACM sigconf, and Springer LNCS), and generating actionable cross-venue migration roadmaps via a Command-Line Interface (CLI) and an interactive Streamlit web dashboard.</w:t>
      </w:r>
    </w:p>
    <w:p>
      <w:pPr>
        <w:spacing w:line="300" w:lineRule="auto" w:before="120" w:after="160"/>
        <w:jc w:val="both"/>
      </w:pPr>
      <w:r>
        <w:rPr>
          <w:rFonts w:ascii="Arial" w:hAnsi="Arial"/>
          <w:b/>
          <w:sz w:val="24"/>
        </w:rPr>
        <w:t>1.2 Novel Idea:</w:t>
        <w:br/>
      </w:r>
      <w:r>
        <w:rPr>
          <w:rFonts w:ascii="Times New Roman" w:hAnsi="Times New Roman"/>
          <w:sz w:val="24"/>
        </w:rPr>
        <w:t>Existing scholarly document tools—such as LaTeX class files (IEEEtran, acmart, llncs), Word templates, and PDF metadata extractors like GROBID or ParsCit—either enforce low-level typographic kerning without checking high-level rhetorical completeness, or extract text without auditing publisher-specific compliance rules. This project introduces four technical innovations:</w:t>
        <w:br/>
        <w:t>1. Universal Cross-Venue Canonical Schema (CanonicalSection): A 14-category semantic ontology (TITLE, AUTHORS, ABSTRACT, KEYWORDS, INTRODUCTION, RELATED_WORK, METHODOLOGY, EVALUATION, DISCUSSION, CONCLUSION, ACKNOWLEDGMENTS, REFERENCES, APPENDIX, UNKNOWN) that bridges terminology variations across IEEE, ACM, and Springer.</w:t>
        <w:br/>
        <w:t>2. Explainable Compound &amp; Ambiguity Detection Engine: Deterministic priority-weighted dictionary and regex matching coupled with a compound-phrase analyzer that detects merged sections (e.g., 'Results and Discussion', 'Implementation and Evaluation'), assigns primary and secondary canonical mappings, and outputs human-readable explanations and confidence scores.</w:t>
        <w:br/>
        <w:t>3. Venue-Specific Structural &amp; Discourse Sequence Validator: Automated verification of mandatory versus recommended sections, numbering styles (Roman vs. Arabic), publisher-specific naming rules (singular IEEE 'ACKNOWLEDGMENT' vs. plural ACM 'ACKNOWLEDGMENTS' vs. British Springer 'Acknowledgements', and 'Index Terms---' vs. 'CCS Concepts'), and logical discourse ordering (ensuring Abstract precedes Introduction, Methodology precedes Evaluation, and Conclusion precedes References).</w:t>
        <w:br/>
        <w:t>4. Multi-Format Extraction with Scanned-PDF Guardrail: Native parsing of digital PDFs (pypdf) and Word documents (python-docx) featuring lead-in delimiter splitting ('Abstract---', 'Index Terms---'), figure/table caption filtering, and automatic character-density thresholding (&lt;30 non-whitespace characters) that raises an UnreadablePDFError on scanned/image-only PDFs rather than failing silently.</w:t>
      </w:r>
    </w:p>
    <w:p>
      <w:pPr>
        <w:spacing w:line="300" w:lineRule="auto" w:before="120" w:after="160"/>
        <w:jc w:val="both"/>
      </w:pPr>
      <w:r>
        <w:rPr>
          <w:rFonts w:ascii="Arial" w:hAnsi="Arial"/>
          <w:b/>
          <w:sz w:val="24"/>
        </w:rPr>
        <w:t>1.3 Significance:</w:t>
        <w:br/>
      </w:r>
      <w:r>
        <w:rPr>
          <w:rFonts w:ascii="Times New Roman" w:hAnsi="Times New Roman"/>
          <w:sz w:val="24"/>
        </w:rPr>
        <w:t>Computer science research relies heavily on peer-reviewed conferences and journals published by IEEE, ACM, and Springer. When authors adapt a draft from one venue to another, structural violations—such as leaving Arabic section numbers in an IEEE draft, omitting mandatory evaluation or methodology sections, merging sections that a target template expects to be distinct, or mislabeling acknowledgments—regularly trigger automated submission warnings or reviewer criticism. By automating pre-submission compliance checking and providing a concrete cross-venue migration checklist, the system reduces manual reformatting overhead for student and faculty researchers and prevents avoidable structural desk rejections.</w:t>
      </w:r>
    </w:p>
    <w:p>
      <w:pPr>
        <w:spacing w:line="300" w:lineRule="auto" w:before="120" w:after="160"/>
        <w:jc w:val="both"/>
      </w:pPr>
      <w:r>
        <w:rPr>
          <w:rFonts w:ascii="Arial" w:hAnsi="Arial"/>
          <w:b/>
          <w:sz w:val="24"/>
        </w:rPr>
        <w:t>1.4 Specifications:</w:t>
        <w:br/>
      </w:r>
      <w:r>
        <w:rPr>
          <w:rFonts w:ascii="Times New Roman" w:hAnsi="Times New Roman"/>
          <w:sz w:val="24"/>
        </w:rPr>
        <w:t>• Operating System &amp; Development Environment: Windows 10/11 &amp; Linux Ubuntu Sandbox, VS Code, Python Virtual Environment.</w:t>
        <w:br/>
        <w:t>• Programming Language &amp; Runtime: Python 3.11+ / 3.12 (64-bit).</w:t>
        <w:br/>
        <w:t>• Web Dashboard &amp; CLI Frameworks: Streamlit (app.py interactive web interface), Python argparse (cli.py terminal interface), Pandas (tabular data presentation).</w:t>
        <w:br/>
        <w:t>• Document Ingestion &amp; Parsing Libraries: python-docx (Word .docx paragraph and style inspection), pypdf (PDF text stream extraction), JSON &amp; UTF-8 text parsers, Python re (compiled regular expressions).</w:t>
        <w:br/>
        <w:t>• Core Modular Package (src/): schema.py (CanonicalSection &amp; VENUE_CONFIGS), normalizer.py (prefix stripping &amp; hierarchy level estimation), rule_engine.py (RuleMappingEngine), validator.py (VenueValidator), extractor.py (multi-format extractors &amp; UnreadablePDFError), reporter.py (CSV/JSON/console &amp; migration guide synthesis).</w:t>
        <w:br/>
        <w:t>• Benchmark &amp; Sample Fixtures: development_set.json (30 labeled headings), test_set.json (45 multi-venue test cases TEST_01–TEST_45), ieee_sample.json, acm_sample.json, springer_sample.json, non_standard_sample.json, sample_manuscript.docx, sample_manuscript.pdf, and scanned_sample.pdf.</w:t>
      </w:r>
    </w:p>
    <w:p>
      <w:pPr>
        <w:keepNext/>
        <w:spacing w:before="280" w:after="120"/>
      </w:pPr>
      <w:r>
        <w:rPr>
          <w:rFonts w:ascii="Arial" w:hAnsi="Arial"/>
          <w:b/>
          <w:color w:val="0F172A"/>
          <w:sz w:val="30"/>
        </w:rPr>
        <w:t>2. Literature Survey</w:t>
      </w:r>
    </w:p>
    <w:p>
      <w:pPr>
        <w:spacing w:line="300" w:lineRule="auto" w:after="160"/>
        <w:jc w:val="both"/>
      </w:pPr>
      <w:r>
        <w:t>Automated understanding of scientific document structure spans logical layout recovery, rhetorical discourse zoning, and publisher template standardization. Teufel and Moens (2002) pioneered Argumentative Zoning in Computational Linguistics, demonstrating that scientific articles follow a predictable rhetorical progression (background, problem statement, method, evaluation, and conclusion) that can be classified automatically from surface cues. Building on discourse zoning, Liakata et al. (2010) introduced the Core Scientific Concepts (CoreSC) annotation scheme at LREC, formalizing fine-grained conceptual categories across experimental sciences.</w:t>
        <w:br/>
        <w:br/>
        <w:t>On the document extraction front, Councill, Giles, and Kan (2008) developed ParsCit, an open-source Conditional Random Field (CRF) package integrated into CiteSeerX for reference string parsing and logical section segmentation. Lopez (2009) introduced GROBID (GeneRation Of BIbliographic Data), combining CRF sequence labeling with fast PDF text-stream reorganization to convert unstructured scholarly PDFs into TEI-compliant XML. Luong, Nguyen, and Kan (2010) extended logical structure recovery in the International Journal of Digital Library Systems by incorporating rich typographic and numbering features to distinguish hierarchical section headers from running headers and figure captions. Similarly, Tkaczyk et al. (2015) presented CERMINE in the International Journal of Document Analysis and Recognition (IJDAR), establishing a modular supervised and rule-based pipeline for extracting metadata and hierarchical body sections from born-digital scientific PDFs, while Clark and Divvala (2016) developed PDFFigures 2.0 at JCDL (used within AllenAI's Science Parse) to isolate section headers from figure and table captions.</w:t>
        <w:br/>
        <w:br/>
        <w:t>In contemporary scientific Natural Language Processing, Beltagy, Lo, and Cohan (2019) introduced SciBERT at EMNLP, demonstrating that domain-specific pretraining on Semantic Scholar corpora substantially improves scientific text classification. Cohan et al. (2019) applied pretrained language models to sequential sentence and section classification in structured abstracts, and Lo et al. (2020) released S2ORC (The Semantic Scholar Open Research Corpus) at ACL, unifying structured section headings across millions of multi-venue papers. Despite these advances in corpus-scale extraction, existing tools focus on retrospective indexing rather than pre-submission author validation across competing publisher style guides—specifically the IEEE Editorial Style Manual, the ACM Publishing System (TAPS / sigconf), and Springer Nature's Lecture Notes in Computer Science (LNCS) guidelines. The present project bridges this gap with a lightweight, explainable, zero-GPU rule and validation engine tailored for cross-venue manuscript standardization.</w:t>
      </w:r>
    </w:p>
    <w:p>
      <w:pPr>
        <w:keepNext/>
        <w:spacing w:before="280" w:after="120"/>
      </w:pPr>
      <w:r>
        <w:rPr>
          <w:rFonts w:ascii="Arial" w:hAnsi="Arial"/>
          <w:b/>
          <w:color w:val="0F172A"/>
          <w:sz w:val="30"/>
        </w:rPr>
        <w:t>3. Methodology</w:t>
      </w:r>
    </w:p>
    <w:p>
      <w:pPr>
        <w:spacing w:line="300" w:lineRule="auto" w:after="160"/>
        <w:jc w:val="both"/>
      </w:pPr>
      <w:r>
        <w:t>The Cross-Venue Formatting Standardization System operates through a five-stage deterministic pipeline designed for transparency, explainability, and fast local execution:</w:t>
        <w:br/>
        <w:br/>
        <w:t>Stage 1: Multi-Format Document Ingestion &amp; Candidate Heading Isolation (src/extractor.py):</w:t>
        <w:br/>
        <w:t>The universal dispatcher extract_headings_from_file() accepts .docx, .pdf, .json, and .txt inputs. For Word documents (.docx), extract_headings_from_docx() iterates over paragraphs, inspecting both explicit Word style names ('heading', 'title') and structural regex patterns while rejecting table/figure captions matching CAPTION_FILTER = ^(?:TABLE\s+[IVXLCDM\d]+|Fig(?:ure)?\.?\s+\d+). For PDF documents (.pdf), extract_headings_from_pdf() extracts page text via pypdf.PdfReader and computes non-whitespace character density: if non_ws_chars &lt; 30, it raises UnreadablePDFError to alert the user that the PDF is scanned or image-only. Lead-in inline headers (such as 'Abstract---This paper...' or 'Index Terms---Deep learning...') are split at em-dash/triple-hyphen boundaries to isolate the structural heading token.</w:t>
        <w:br/>
        <w:br/>
        <w:t>Stage 2: Prefix Normalization &amp; Structural Hierarchy Estimation (src/normalizer.py):</w:t>
        <w:br/>
        <w:t>Each raw heading string h is processed by normalize_heading(h), which strips leading 'Section'/'Sec.' tokens and evaluates four structural numbering patterns:</w:t>
        <w:br/>
        <w:t>• Hierarchical Arabic (ARABIC_HIERARCHICAL): e.g., '3.1.2 Experimental Setup', computing depth level k = len(digits).</w:t>
        <w:br/>
        <w:t>• Single Arabic (ARABIC_SINGLE): e.g., '1 Introduction' or '2. Literature Review' (level = 1).</w:t>
        <w:br/>
        <w:t>• Roman Numeral (ROMAN): e.g., 'I. INTRODUCTION', 'IV. EXPERIMENTAL EVALUATION' (level = 1).</w:t>
        <w:br/>
        <w:t>• Alphabetic Subsection (ALPHA): e.g., 'A. Data Preprocessing' (level = 2).</w:t>
        <w:br/>
        <w:t>Publisher punctuation artifacts ('---', '—', ':', '.') are stripped, yielding a normalized lowercase string c.</w:t>
        <w:br/>
        <w:br/>
        <w:t>Stage 3: Deterministic Rule-Based Semantic Classification &amp; Ambiguity Detection (src/rule_engine.py):</w:t>
        <w:br/>
        <w:t>The RuleMappingEngine maps normalized string c to CanonicalSection via a three-tier cascade:</w:t>
        <w:br/>
        <w:t>1. Compound Phrase Matching: Checks COMPOUND_SECTIONS (e.g., 'results and discussion' -&gt; (EVALUATION, DISCUSSION), 'discussion and conclusion' -&gt; (DISCUSSION, CONCLUSION), 'implementation and evaluation' -&gt; (METHODOLOGY, EVALUATION)). When primary != secondary, the heading is flagged with is_compound = True, is_ambiguous = True, and confidence = 0.95.</w:t>
        <w:br/>
        <w:t>2. Exact Dictionary Matching: Checks exact phrase membership across MAPPING_RULES for all 13 active canonical classes (confidence = 1.00).</w:t>
        <w:br/>
        <w:t>3. Weighted Regex Matching: Evaluates compiled word-boundary regular expressions with class weights w_c in [0.92, 1.00]. If multiple canonical classes match with weight difference |w_1 - w_2| &lt; 0.10, is_ambiguous is set to True and confidence is scaled by 0.85; if no rule matches, the heading is assigned UNKNOWN with confidence = 0.00.</w:t>
        <w:br/>
        <w:br/>
        <w:t>Stage 4: Venue-Specific Compliance &amp; Discourse Sequence Validation (src/validator.py):</w:t>
        <w:br/>
        <w:t>Given target venue V in {IEEE, ACM, SPRINGER}, VenueValidator compares the set of present canonical sections P against VENUE_CONFIGS[V]:</w:t>
        <w:br/>
        <w:t>• Missing Mandatory &amp; Recommended Sections: Computes M_mand = Mandatory(V) \ P and M_rec = Recommended(V) \ P.</w:t>
        <w:br/>
        <w:t>• Style &amp; Naming Violations: Flags Arabic numbering in IEEE main sections, Roman numbering in ACM/Springer, plural 'ACKNOWLEDGMENTS' in IEEE (which strictly requires singular 'ACKNOWLEDGMENT'), and 'Keywords' vs. 'Index Terms---'.</w:t>
        <w:br/>
        <w:t>• Discourse Sequence Ordering (_check_sequence): Verifies four precedence constraints: idx(ABSTRACT) &lt; idx(INTRODUCTION) &lt; idx(METHODOLOGY) &lt; idx(EVALUATION) and idx(CONCLUSION) &lt; idx(REFERENCES).</w:t>
        <w:br/>
        <w:br/>
        <w:t>Stage 5: Cross-Venue Migration Roadmap &amp; Telemetry Export (src/reporter.py &amp; src/app.py):</w:t>
        <w:br/>
        <w:t>ReportGenerator synthesizes formatted console summaries, downloadable CSV and JSON audit structures, and a step-by-step migration guide detailing numbering, layout, keyword/CCS, and acknowledgment transformations between source venue V_s and target venue V_t.</w:t>
      </w:r>
    </w:p>
    <w:p>
      <w:pPr>
        <w:keepNext/>
        <w:spacing w:before="280" w:after="120"/>
      </w:pPr>
      <w:r>
        <w:rPr>
          <w:rFonts w:ascii="Arial" w:hAnsi="Arial"/>
          <w:b/>
          <w:color w:val="0F172A"/>
          <w:sz w:val="30"/>
        </w:rPr>
        <w:t>4. Implementation</w:t>
      </w:r>
    </w:p>
    <w:p>
      <w:pPr>
        <w:spacing w:line="300" w:lineRule="auto" w:before="120" w:after="160"/>
        <w:jc w:val="both"/>
      </w:pPr>
      <w:r>
        <w:rPr>
          <w:rFonts w:ascii="Arial" w:hAnsi="Arial"/>
          <w:b/>
          <w:sz w:val="24"/>
        </w:rPr>
        <w:t>4.1 Architecture and Data Structures:</w:t>
        <w:br/>
      </w:r>
      <w:r>
        <w:rPr>
          <w:rFonts w:ascii="Times New Roman" w:hAnsi="Times New Roman"/>
          <w:sz w:val="24"/>
        </w:rPr>
        <w:t>The software architecture is organized into a modular Python package (src/) accompanied by benchmark datasets and sample manuscripts:</w:t>
        <w:br/>
        <w:t>• src/schema.py: Defines the CanonicalSection(str, Enum) taxonomy (14 categories), SCHEMA_DESCRIPTIONS, and VENUE_CONFIGS dictionary specifying numbering styles, keyword labels, acknowledgment rules, and mandatory/recommended section lists for IEEE, ACM, and SPRINGER.</w:t>
        <w:br/>
        <w:t>• src/normalizer.py: Implements compiled regular expressions (ROMAN_PATTERN, ARABIC_MULTI_PATTERN, ARABIC_SINGLE_PATTERN, ALPHA_PATTERN) and normalize_heading().</w:t>
        <w:br/>
        <w:t>• src/rule_engine.py: Implements MAPPING_RULES, COMPOUND_SECTIONS, and RuleMappingEngine.map_heading().</w:t>
        <w:br/>
        <w:t>• src/validator.py: Implements VenueValidator.validate_document() and _check_sequence().</w:t>
        <w:br/>
        <w:t>• src/extractor.py: Implements DocumentExtractionError, UnreadablePDFError, extract_headings_from_docx(), extract_headings_from_pdf(), and extract_headings_from_file().</w:t>
        <w:br/>
        <w:t>• src/reporter.py: Implements ReportGenerator with static methods to_json(), to_csv(), generate_console_summary(), and generate_cross_venue_migration_guide().</w:t>
        <w:br/>
        <w:t>• src/cli.py &amp; src/app.py: Provide the command-line interface and the interactive Streamlit web dashboard.</w:t>
      </w:r>
    </w:p>
    <w:p>
      <w:pPr>
        <w:spacing w:line="300" w:lineRule="auto" w:before="120" w:after="160"/>
        <w:jc w:val="both"/>
      </w:pPr>
      <w:r>
        <w:rPr>
          <w:rFonts w:ascii="Arial" w:hAnsi="Arial"/>
          <w:b/>
          <w:sz w:val="24"/>
        </w:rPr>
        <w:t>4.2 Core Normalization, Rule Mapping &amp; Validation Logic:</w:t>
        <w:br/>
      </w:r>
      <w:r>
        <w:rPr>
          <w:rFonts w:ascii="Times New Roman" w:hAnsi="Times New Roman"/>
          <w:sz w:val="24"/>
        </w:rPr>
        <w:t>Below is the summary of the core decision rules enforced across the engine and validator:</w:t>
        <w:br/>
        <w:t>• Mandatory Section Set (All 3 Venues): {ABSTRACT, KEYWORDS, INTRODUCTION, METHODOLOGY, EVALUATION, CONCLUSION, REFERENCES}.</w:t>
        <w:br/>
        <w:t>• Recommended Section Set: {RELATED_WORK, ACKNOWLEDGMENTS} for IEEE; {RELATED_WORK, DISCUSSION, ACKNOWLEDGMENTS} for ACM and SPRINGER.</w:t>
        <w:br/>
        <w:t>• Compliance Criterion: is_compliant = (len(missing_mandatory) == 0 and len(sequence_issues) == 0).</w:t>
        <w:br/>
        <w:t>• Scanned PDF Guardrail: non_ws_chars = len(re.sub(r'\s+', '', full_content)); raises UnreadablePDFError if non_ws_chars &lt; 30.</w:t>
      </w:r>
    </w:p>
    <w:p>
      <w:pPr>
        <w:keepNext/>
        <w:spacing w:before="160" w:after="120"/>
      </w:pPr>
      <w:r>
        <w:rPr>
          <w:rFonts w:ascii="Arial" w:hAnsi="Arial"/>
          <w:b/>
          <w:sz w:val="24"/>
        </w:rPr>
        <w:t>4.3 Complete Application Source Code (Streamlit Dashboard &amp; Core Engine):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9360"/>
      </w:tblGrid>
      <w:tr>
        <w:tc>
          <w:tcPr>
            <w:tcW w:type="dxa" w:w="9360"/>
            <w:shd w:fill="F8FAFC"/>
          </w:tcPr>
          <w:p>
            <w:pPr>
              <w:spacing w:line="252" w:lineRule="auto" w:before="80" w:after="80"/>
            </w:pPr>
            <w:r>
              <w:rPr>
                <w:rFonts w:ascii="Courier New" w:hAnsi="Courier New"/>
                <w:sz w:val="20"/>
              </w:rPr>
              <w:t># File 1: src/app.py (Streamlit Web Interface)</w:t>
              <w:br/>
              <w:t>"""</w:t>
              <w:br/>
              <w:t>Streamlit Web Interface for Cross-Venue Formatting Standardization System.</w:t>
              <w:br/>
              <w:br/>
              <w:t>An interactive dashboard demonstrating:</w:t>
              <w:br/>
              <w:t>1. Automated semantic section mapping across IEEE, ACM, and Springer LNCS.</w:t>
              <w:br/>
              <w:t>2. Compliance validation and missing section detection.</w:t>
              <w:br/>
              <w:t>3. Interactive cross-venue migration roadmaps.</w:t>
              <w:br/>
              <w:t>4. Exportable CSV and JSON reports.</w:t>
              <w:br/>
              <w:t>"""</w:t>
              <w:br/>
              <w:br/>
              <w:t>import streamlit as st</w:t>
              <w:br/>
              <w:t>import json</w:t>
              <w:br/>
              <w:t>import pandas as pd</w:t>
              <w:br/>
              <w:t>import sys</w:t>
              <w:br/>
              <w:t>import os</w:t>
              <w:br/>
              <w:t>sys.path.append(os.path.abspath(os.path.join(os.path.dirname(__file__), '..')))</w:t>
              <w:br/>
              <w:t>from src.rule_engine import RuleMappingEngine</w:t>
              <w:br/>
              <w:t>from src.validator import VenueValidator</w:t>
              <w:br/>
              <w:t>from src.reporter import ReportGenerator</w:t>
              <w:br/>
              <w:t>from src.schema import VENUE_CONFIGS, CanonicalSection</w:t>
              <w:br/>
              <w:t>from src.extractor import extract_headings_from_docx, extract_headings_from_pdf, UnreadablePDFError</w:t>
              <w:br/>
              <w:br/>
              <w:t>st.set_page_config(</w:t>
              <w:br/>
              <w:t xml:space="preserve">    page_title="Cross-Venue Formatting Standardization",</w:t>
              <w:br/>
              <w:t xml:space="preserve">    page_icon="📄",</w:t>
              <w:br/>
              <w:t xml:space="preserve">    layout="wide"</w:t>
              <w:br/>
              <w:t>)</w:t>
              <w:br/>
              <w:br/>
              <w:t>st.title("📄 Cross-Venue Formatting Standardization System")</w:t>
              <w:br/>
              <w:t>st.subheader("Bridging IEEE, ACM, and Springer Conference Standards")</w:t>
              <w:br/>
              <w:t>st.markdown(</w:t>
              <w:br/>
              <w:t xml:space="preserve">    "A research prototype for **semantic section classification**, **cross-template validation**, "</w:t>
              <w:br/>
              <w:t xml:space="preserve">    "and **automated publication standard compliance** in Computer Science research."</w:t>
              <w:br/>
              <w:t>)</w:t>
              <w:br/>
              <w:br/>
              <w:t># Sidebar configurations</w:t>
              <w:br/>
              <w:t>st.sidebar.header("Configuration &amp; Venues")</w:t>
              <w:br/>
              <w:t>source_venue = st.sidebar.selectbox("Source Paper Venue:", ["IEEE", "ACM", "SPRINGER"], index=0)</w:t>
              <w:br/>
              <w:t>target_venue = st.sidebar.selectbox("Target Submission Venue:", ["IEEE", "ACM", "SPRINGER"], index=1)</w:t>
              <w:br/>
              <w:br/>
              <w:t># Sample presets</w:t>
              <w:br/>
              <w:t>SAMPLE_INPUTS = {</w:t>
              <w:br/>
              <w:t xml:space="preserve">    "IEEE Standard Paper": [</w:t>
              <w:br/>
              <w:t xml:space="preserve">        "Abstract",</w:t>
              <w:br/>
              <w:t xml:space="preserve">        "Index Terms---Deep learning, document parsing, conference templates",</w:t>
              <w:br/>
              <w:t xml:space="preserve">        "I. INTRODUCTION",</w:t>
              <w:br/>
              <w:t xml:space="preserve">        "II. RELATED WORK AND BACKGROUND",</w:t>
              <w:br/>
              <w:t xml:space="preserve">        "III. PROPOSED ARCHITECTURE AND SYSTEM DESIGN",</w:t>
              <w:br/>
              <w:t xml:space="preserve">        "IV. EXPERIMENTAL SETUP AND EMPIRICAL EVALUATION",</w:t>
              <w:br/>
              <w:t xml:space="preserve">        "V. DISCUSSION AND LIMITATIONS",</w:t>
              <w:br/>
              <w:t xml:space="preserve">        "VI. CONCLUSION AND FUTURE WORK",</w:t>
              <w:br/>
              <w:t xml:space="preserve">        "ACKNOWLEDGMENT",</w:t>
              <w:br/>
              <w:t xml:space="preserve">        "REFERENCES"</w:t>
              <w:br/>
              <w:t xml:space="preserve">    ],</w:t>
              <w:br/>
              <w:t xml:space="preserve">    "ACM sigconf Paper": [</w:t>
              <w:br/>
              <w:t xml:space="preserve">        "ABSTRACT",</w:t>
              <w:br/>
              <w:t xml:space="preserve">        "CCS CONCEPTS",</w:t>
              <w:br/>
              <w:t xml:space="preserve">        "Keywords",</w:t>
              <w:br/>
              <w:t xml:space="preserve">        "1 INTRODUCTION",</w:t>
              <w:br/>
              <w:t xml:space="preserve">        "2 RELATED WORK",</w:t>
              <w:br/>
              <w:t xml:space="preserve">        "3 METHODOLOGY AND FORMULATION",</w:t>
              <w:br/>
              <w:t xml:space="preserve">        "4 EXPERIMENTAL RESULTS",</w:t>
              <w:br/>
              <w:t xml:space="preserve">        "5 DISCUSSION",</w:t>
              <w:br/>
              <w:t xml:space="preserve">        "6 CONCLUSION",</w:t>
              <w:br/>
              <w:t xml:space="preserve">        "ACKNOWLEDGMENTS",</w:t>
              <w:br/>
              <w:t xml:space="preserve">        "REFERENCES"</w:t>
              <w:br/>
              <w:t xml:space="preserve">    ],</w:t>
              <w:br/>
              <w:t xml:space="preserve">    "Springer LNCS Paper": [</w:t>
              <w:br/>
              <w:t xml:space="preserve">        "Abstract",</w:t>
              <w:br/>
              <w:t xml:space="preserve">        "Keywords: Semantic mapping, conference standards, natural language processing",</w:t>
              <w:br/>
              <w:t xml:space="preserve">        "1 Introduction",</w:t>
              <w:br/>
              <w:t xml:space="preserve">        "2 Prior Studies and Theoretical Framework",</w:t>
              <w:br/>
              <w:t xml:space="preserve">        "3 Proposed System Architecture",</w:t>
              <w:br/>
              <w:t xml:space="preserve">        "4 Experiments and Results",</w:t>
              <w:br/>
              <w:t xml:space="preserve">        "5 Concluding Remarks and Outlook",</w:t>
              <w:br/>
              <w:t xml:space="preserve">        "Acknowledgements",</w:t>
              <w:br/>
              <w:t xml:space="preserve">        "References"</w:t>
              <w:br/>
              <w:t xml:space="preserve">    ],</w:t>
              <w:br/>
              <w:t xml:space="preserve">    "Incomplete / Non-Compliant Paper (Missing Sections)": [</w:t>
              <w:br/>
              <w:t xml:space="preserve">        "Abstract",</w:t>
              <w:br/>
              <w:t xml:space="preserve">        "1. Introduction",</w:t>
              <w:br/>
              <w:t xml:space="preserve">        "2. Our Model",</w:t>
              <w:br/>
              <w:t xml:space="preserve">        "3. Results and Discussion",</w:t>
              <w:br/>
              <w:t xml:space="preserve">        "4. Conclusion",</w:t>
              <w:br/>
              <w:t xml:space="preserve">        "ACKNOWLEDGMENTS"</w:t>
              <w:br/>
              <w:t xml:space="preserve">    ]</w:t>
              <w:br/>
              <w:t>}</w:t>
              <w:br/>
              <w:br/>
              <w:t>st.sidebar.header("Input Selection")</w:t>
              <w:br/>
              <w:t>input_mode = st.sidebar.radio("Select Input Mode:", ["Use Preset Sample", "Manual Text Input", "Upload File (TXT, JSON, PDF, DOCX)"])</w:t>
              <w:br/>
              <w:br/>
              <w:t>input_headings = []</w:t>
              <w:br/>
              <w:br/>
              <w:t>if input_mode == "Use Preset Sample":</w:t>
              <w:br/>
              <w:t xml:space="preserve">    sample_key = st.sidebar.selectbox("Choose Sample:", list(SAMPLE_INPUTS.keys()))</w:t>
              <w:br/>
              <w:t xml:space="preserve">    input_headings = SAMPLE_INPUTS[sample_key]</w:t>
              <w:br/>
              <w:t>elif input_mode == "Manual Text Input":</w:t>
              <w:br/>
              <w:t xml:space="preserve">    text_val = st.sidebar.text_area(</w:t>
              <w:br/>
              <w:t xml:space="preserve">        "Enter headings (one per line):",</w:t>
              <w:br/>
              <w:t xml:space="preserve">        value="Abstract\nIndex Terms\nI. INTRODUCTION\nII. SYSTEM MODEL\nIII. EVALUATION\nIV. CONCLUSION\nREFERENCES"</w:t>
              <w:br/>
              <w:t xml:space="preserve">    )</w:t>
              <w:br/>
              <w:t xml:space="preserve">    input_headings = [line.strip() for line in text_val.split("\n") if line.strip()]</w:t>
              <w:br/>
              <w:t>else:</w:t>
              <w:br/>
              <w:t xml:space="preserve">    uploaded = st.sidebar.file_uploader("Upload .txt, .json, .pdf, or .docx file", type=["txt", "json", "pdf", "docx"])</w:t>
              <w:br/>
              <w:t xml:space="preserve">    if uploaded:</w:t>
              <w:br/>
              <w:t xml:space="preserve">        fn = uploaded.name.lower()</w:t>
              <w:br/>
              <w:t xml:space="preserve">        try:</w:t>
              <w:br/>
              <w:t xml:space="preserve">            if fn.endswith(".pdf"):</w:t>
              <w:br/>
              <w:t xml:space="preserve">                input_headings = extract_headings_from_pdf(uploaded)</w:t>
              <w:br/>
              <w:t xml:space="preserve">                if not input_headings:</w:t>
              <w:br/>
              <w:t xml:space="preserve">                    st.warning("No standard section headings detected in this PDF. Please verify document layout.")</w:t>
              <w:br/>
              <w:t xml:space="preserve">            elif fn.endswith(".docx"):</w:t>
              <w:br/>
              <w:t xml:space="preserve">                input_headings = extract_headings_from_docx(uploaded)</w:t>
              <w:br/>
              <w:t xml:space="preserve">                if not input_headings:</w:t>
              <w:br/>
              <w:t xml:space="preserve">                    st.warning("No section headings detected in this Word document. Please verify document layout.")</w:t>
              <w:br/>
              <w:t xml:space="preserve">            elif fn.endswith(".json"):</w:t>
              <w:br/>
              <w:t xml:space="preserve">                content = uploaded.read().decode("utf-8")</w:t>
              <w:br/>
              <w:t xml:space="preserve">                data = json.loads(content)</w:t>
              <w:br/>
              <w:t xml:space="preserve">                if isinstance(data, list):</w:t>
              <w:br/>
              <w:t xml:space="preserve">                    input_headings = [str(x) for x in data]</w:t>
              <w:br/>
              <w:t xml:space="preserve">                elif isinstance(data, dict) and "headings" in data:</w:t>
              <w:br/>
              <w:t xml:space="preserve">                    input_headings = data["headings"]</w:t>
              <w:br/>
              <w:t xml:space="preserve">            else:</w:t>
              <w:br/>
              <w:t xml:space="preserve">                content = uploaded.read().decode("utf-8")</w:t>
              <w:br/>
              <w:t xml:space="preserve">                input_headings = [l.strip() for l in content.split("\n") if l.strip()]</w:t>
              <w:br/>
              <w:t xml:space="preserve">        except UnreadablePDFError as e:</w:t>
              <w:br/>
              <w:t xml:space="preserve">            st.error(f"🚨 PDF Extraction Error: {e}")</w:t>
              <w:br/>
              <w:t xml:space="preserve">            input_headings = []</w:t>
              <w:br/>
              <w:t xml:space="preserve">        except Exception as e:</w:t>
              <w:br/>
              <w:t xml:space="preserve">            st.error(f"🚨 Error reading uploaded file: {e}")</w:t>
              <w:br/>
              <w:t xml:space="preserve">            input_headings = []</w:t>
              <w:br/>
              <w:br/>
              <w:t># Main Analysis</w:t>
              <w:br/>
              <w:t>if input_headings:</w:t>
              <w:br/>
              <w:t xml:space="preserve">    st.markdown("### 1. Document Section Mapping Table")</w:t>
              <w:br/>
              <w:t xml:space="preserve">    engine = RuleMappingEngine()</w:t>
              <w:br/>
              <w:t xml:space="preserve">    validator = VenueValidator(target_venue=target_venue)</w:t>
              <w:br/>
              <w:t xml:space="preserve">    </w:t>
              <w:br/>
              <w:t xml:space="preserve">    mapped_headings = [engine.map_heading(h, source_venue=source_venue) for h in input_headings]</w:t>
              <w:br/>
              <w:t xml:space="preserve">    val_result = validator.validate_document(mapped_headings)</w:t>
              <w:br/>
              <w:br/>
              <w:t xml:space="preserve">    # Format table for display</w:t>
              <w:br/>
              <w:t xml:space="preserve">    display_rows = []</w:t>
              <w:br/>
              <w:t xml:space="preserve">    for m in mapped_headings:</w:t>
              <w:br/>
              <w:t xml:space="preserve">        status_badge = "✅ OK"</w:t>
              <w:br/>
              <w:t xml:space="preserve">        if m["canonical_section"] == "UNKNOWN":</w:t>
              <w:br/>
              <w:t xml:space="preserve">            status_badge = "❌ Unmapped"</w:t>
              <w:br/>
              <w:t xml:space="preserve">        elif m["is_ambiguous"]:</w:t>
              <w:br/>
              <w:t xml:space="preserve">            status_badge = "⚠️ Ambiguous"</w:t>
              <w:br/>
              <w:t xml:space="preserve">        elif m["is_compound"]:</w:t>
              <w:br/>
              <w:t xml:space="preserve">            status_badge = "🔀 Compound"</w:t>
              <w:br/>
              <w:br/>
              <w:t xml:space="preserve">        display_rows.append({</w:t>
              <w:br/>
              <w:t xml:space="preserve">            "Raw Heading": m["raw_heading"],</w:t>
              <w:br/>
              <w:t xml:space="preserve">            "Canonical Section": m["canonical_section"],</w:t>
              <w:br/>
              <w:t xml:space="preserve">            "Secondary Mapping": m["secondary_section"] or "-",</w:t>
              <w:br/>
              <w:t xml:space="preserve">            "Confidence": f"{m['confidence']:.2f}",</w:t>
              <w:br/>
              <w:t xml:space="preserve">            "Status": status_badge,</w:t>
              <w:br/>
              <w:t xml:space="preserve">            "Rationale": m["explanation"]</w:t>
              <w:br/>
              <w:t xml:space="preserve">        })</w:t>
              <w:br/>
              <w:br/>
              <w:t xml:space="preserve">    df = pd.DataFrame(display_rows)</w:t>
              <w:br/>
              <w:t xml:space="preserve">    st.dataframe(df, use_container_width=True)</w:t>
              <w:br/>
              <w:br/>
              <w:t xml:space="preserve">    # Validation and Compliance Dashboard</w:t>
              <w:br/>
              <w:t xml:space="preserve">    st.markdown("### 2. Publisher Compliance &amp; Structural Validation")</w:t>
              <w:br/>
              <w:t xml:space="preserve">    col1, col2, col3 = st.columns(3)</w:t>
              <w:br/>
              <w:t xml:space="preserve">    with col1:</w:t>
              <w:br/>
              <w:t xml:space="preserve">        st.metric("Total Headings", val_result["total_headings_analyzed"])</w:t>
              <w:br/>
              <w:t xml:space="preserve">    with col2:</w:t>
              <w:br/>
              <w:t xml:space="preserve">        comp_color = "normal" if val_result["is_compliant"] else "inverse"</w:t>
              <w:br/>
              <w:t xml:space="preserve">        st.metric("Target Venue", f"{target_venue}", delta="Compliant" if val_result["is_compliant"] else "Revisions Needed", delta_color=comp_color)</w:t>
              <w:br/>
              <w:t xml:space="preserve">    with col3:</w:t>
              <w:br/>
              <w:t xml:space="preserve">        st.metric("Unmapped Headings", val_result["unmapped_headings_count"])</w:t>
              <w:br/>
              <w:br/>
              <w:t xml:space="preserve">    # Detailed warnings and missing sections</w:t>
              <w:br/>
              <w:t xml:space="preserve">    if val_result["missing_mandatory"]:</w:t>
              <w:br/>
              <w:t xml:space="preserve">        st.error(f"🚨 **Missing Mandatory Sections for {target_venue}:** " + ", ".join(val_result["missing_mandatory"]))</w:t>
              <w:br/>
              <w:br/>
              <w:t xml:space="preserve">    if val_result["warnings"]:</w:t>
              <w:br/>
              <w:t xml:space="preserve">        with st.expander("⚠️ View Style and Structural Warnings", expanded=True):</w:t>
              <w:br/>
              <w:t xml:space="preserve">            for w in val_result["warnings"]:</w:t>
              <w:br/>
              <w:t xml:space="preserve">                st.warning(w)</w:t>
              <w:br/>
              <w:br/>
              <w:t xml:space="preserve">    if val_result["suggestions"]:</w:t>
              <w:br/>
              <w:t xml:space="preserve">        with st.expander("💡 Actionable Author Suggestions", expanded=True):</w:t>
              <w:br/>
              <w:t xml:space="preserve">            for s in val_result["suggestions"]:</w:t>
              <w:br/>
              <w:t xml:space="preserve">                st.info(s)</w:t>
              <w:br/>
              <w:br/>
              <w:t xml:space="preserve">    # Migration Roadmap</w:t>
              <w:br/>
              <w:t xml:space="preserve">    st.markdown("### 3. Cross-Venue Migration Roadmap")</w:t>
              <w:br/>
              <w:t xml:space="preserve">    roadmap = ReportGenerator.generate_cross_venue_migration_guide(source_venue, target_venue, mapped_headings)</w:t>
              <w:br/>
              <w:t xml:space="preserve">    for step in roadmap:</w:t>
              <w:br/>
              <w:t xml:space="preserve">        st.write(f"- {step}")</w:t>
              <w:br/>
              <w:br/>
              <w:t xml:space="preserve">    # Export options</w:t>
              <w:br/>
              <w:t xml:space="preserve">    st.markdown("### 4. Export Standardization Reports")</w:t>
              <w:br/>
              <w:t xml:space="preserve">    c1, c2 = st.columns(2)</w:t>
              <w:br/>
              <w:t xml:space="preserve">    with c1:</w:t>
              <w:br/>
              <w:t xml:space="preserve">        csv_data = df.to_csv(index=False).encode("utf-8")</w:t>
              <w:br/>
              <w:t xml:space="preserve">        st.download_button("📥 Download Mappings (CSV)", data=csv_data, file_name=f"mapping_{source_venue}_to_{target_venue}.csv", mime="text/csv")</w:t>
              <w:br/>
              <w:t xml:space="preserve">    with c2:</w:t>
              <w:br/>
              <w:t xml:space="preserve">        json_data = json.dumps({"validation": val_result, "mappings": mapped_headings}, indent=2).encode("utf-8")</w:t>
              <w:br/>
              <w:t xml:space="preserve">        st.download_button("📥 Download Full Analysis (JSON)", data=json_data, file_name=f"analysis_{source_venue}_to_{target_venue}.json", mime="application/json")</w:t>
              <w:br/>
              <w:t>else:</w:t>
              <w:br/>
              <w:t xml:space="preserve">    st.info("Please provide input headings or select a preset sample from the sidebar.")</w:t>
            </w:r>
          </w:p>
        </w:tc>
      </w:tr>
      <w:tr>
        <w:tc>
          <w:tcPr>
            <w:tcW w:type="dxa" w:w="9360"/>
            <w:shd w:fill="F8FAFC"/>
          </w:tcPr>
          <w:p>
            <w:pPr>
              <w:spacing w:line="252" w:lineRule="auto" w:before="80" w:after="80"/>
            </w:pPr>
            <w:r>
              <w:rPr>
                <w:rFonts w:ascii="Courier New" w:hAnsi="Courier New"/>
                <w:sz w:val="20"/>
              </w:rPr>
              <w:t># File 2: src/rule_engine.py (Rule-Based Cross-Venue Semantic Mapping Engine)</w:t>
              <w:br/>
              <w:t>"""</w:t>
              <w:br/>
              <w:t>Rule-Based Cross-Venue Semantic Mapping Engine.</w:t>
              <w:br/>
              <w:br/>
              <w:t xml:space="preserve">Maps normalized section headings from IEEE, ACM, or Springer papers to the </w:t>
              <w:br/>
              <w:t xml:space="preserve">universal CanonicalSection schema. Evaluates explicit keyword rules, regex </w:t>
              <w:br/>
              <w:t>patterns, compound section splitting, and ambiguity detection with explainability.</w:t>
              <w:br/>
              <w:t>"""</w:t>
              <w:br/>
              <w:br/>
              <w:t>import re</w:t>
              <w:br/>
              <w:t>from typing import Dict, List, Optional, Any, Tuple</w:t>
              <w:br/>
              <w:t>from .schema import CanonicalSection</w:t>
              <w:br/>
              <w:t>from .normalizer import normalize_heading</w:t>
              <w:br/>
              <w:br/>
              <w:br/>
              <w:t># Canonical section mapping rule definitions with priority weights</w:t>
              <w:br/>
              <w:t>MAPPING_RULES: Dict[str, Dict[str, Any]] = {</w:t>
              <w:br/>
              <w:t xml:space="preserve">    CanonicalSection.TITLE.value: {</w:t>
              <w:br/>
              <w:t xml:space="preserve">        "exact": ["title", "paper title", "manuscript title"],</w:t>
              <w:br/>
              <w:t xml:space="preserve">        "regex": [r"\btitle\b"],</w:t>
              <w:br/>
              <w:t xml:space="preserve">        "weight": 1.0</w:t>
              <w:br/>
              <w:t xml:space="preserve">    },</w:t>
              <w:br/>
              <w:t xml:space="preserve">    CanonicalSection.AUTHORS.value: {</w:t>
              <w:br/>
              <w:t xml:space="preserve">        "exact": ["authors", "author", "authors and affiliations", "author information"],</w:t>
              <w:br/>
              <w:t xml:space="preserve">        "regex": [r"\bauthors?\b", r"\baffiliations?\b"],</w:t>
              <w:br/>
              <w:t xml:space="preserve">        "weight": 0.95</w:t>
              <w:br/>
              <w:t xml:space="preserve">    },</w:t>
              <w:br/>
              <w:t xml:space="preserve">    CanonicalSection.ABSTRACT.value: {</w:t>
              <w:br/>
              <w:t xml:space="preserve">        "exact": ["abstract", "executive summary", "overview"],</w:t>
              <w:br/>
              <w:t xml:space="preserve">        "regex": [r"^abstract\b", r"\babstract\b"],</w:t>
              <w:br/>
              <w:t xml:space="preserve">        "weight": 1.0</w:t>
              <w:br/>
              <w:t xml:space="preserve">    },</w:t>
              <w:br/>
              <w:t xml:space="preserve">    CanonicalSection.KEYWORDS.value: {</w:t>
              <w:br/>
              <w:t xml:space="preserve">        "exact": [</w:t>
              <w:br/>
              <w:t xml:space="preserve">            "keywords", "key words", "index terms", "ccs concepts", </w:t>
              <w:br/>
              <w:t xml:space="preserve">            "computing classification system", "subject descriptors", </w:t>
              <w:br/>
              <w:t xml:space="preserve">            "index terms---", "key-words"</w:t>
              <w:br/>
              <w:t xml:space="preserve">        ],</w:t>
              <w:br/>
              <w:t xml:space="preserve">        "regex": [r"\bindex\s+terms\b", r"\bccs\s+concepts\b", r"\bkeywords?\b"],</w:t>
              <w:br/>
              <w:t xml:space="preserve">        "weight": 1.0</w:t>
              <w:br/>
              <w:t xml:space="preserve">    },</w:t>
              <w:br/>
              <w:t xml:space="preserve">    CanonicalSection.INTRODUCTION.value: {</w:t>
              <w:br/>
              <w:t xml:space="preserve">        "exact": [</w:t>
              <w:br/>
              <w:t xml:space="preserve">            "introduction", "motivation", "background and motivation",</w:t>
              <w:br/>
              <w:t xml:space="preserve">            "context and motivation", "problem statement", "preliminaries and introduction"</w:t>
              <w:br/>
              <w:t xml:space="preserve">        ],</w:t>
              <w:br/>
              <w:t xml:space="preserve">        "regex": [r"^introduction\b", r"\bmotivation\b", r"\bproblem\s+formulation\b"],</w:t>
              <w:br/>
              <w:t xml:space="preserve">        "weight": 1.0</w:t>
              <w:br/>
              <w:t xml:space="preserve">    },</w:t>
              <w:br/>
              <w:t xml:space="preserve">    CanonicalSection.RELATED_WORK.value: {</w:t>
              <w:br/>
              <w:t xml:space="preserve">        "exact": [</w:t>
              <w:br/>
              <w:t xml:space="preserve">            "related work", "related works", "literature review", </w:t>
              <w:br/>
              <w:t xml:space="preserve">            "state of the art", "prior work", "background and related work",</w:t>
              <w:br/>
              <w:t xml:space="preserve">            "previous work", "survey of literature", "theoretical background"</w:t>
              <w:br/>
              <w:t xml:space="preserve">        ],</w:t>
              <w:br/>
              <w:t xml:space="preserve">        "regex": [</w:t>
              <w:br/>
              <w:t xml:space="preserve">            r"\brelated\s+works?\b", r"\bliterature\s+review\b", </w:t>
              <w:br/>
              <w:t xml:space="preserve">            r"\bstate\s+of\s+the\s+art\b", r"\bprior\s+art\b",</w:t>
              <w:br/>
              <w:t xml:space="preserve">            r"\bbackground\s+and\s+related\b"</w:t>
              <w:br/>
              <w:t xml:space="preserve">        ],</w:t>
              <w:br/>
              <w:t xml:space="preserve">        "weight": 0.98</w:t>
              <w:br/>
              <w:t xml:space="preserve">    },</w:t>
              <w:br/>
              <w:t xml:space="preserve">    CanonicalSection.METHODOLOGY.value: {</w:t>
              <w:br/>
              <w:t xml:space="preserve">        "exact": [</w:t>
              <w:br/>
              <w:t xml:space="preserve">            "methodology", "methods", "method", "proposed method", </w:t>
              <w:br/>
              <w:t xml:space="preserve">            "proposed methodology", "proposed system", "system architecture", </w:t>
              <w:br/>
              <w:t xml:space="preserve">            "proposed framework", "materials and methods", "system design", </w:t>
              <w:br/>
              <w:t xml:space="preserve">            "design and implementation", "model architecture", "algorithm",</w:t>
              <w:br/>
              <w:t xml:space="preserve">            "proposed approach", "technical approach", "formal model"</w:t>
              <w:br/>
              <w:t xml:space="preserve">        ],</w:t>
              <w:br/>
              <w:t xml:space="preserve">        "regex": [</w:t>
              <w:br/>
              <w:t xml:space="preserve">            r"\bmethodolog(?:y|ies)\b", r"\bproposed\s+(?:method|system|framework|approach|model|architecture)\b",</w:t>
              <w:br/>
              <w:t xml:space="preserve">            r"\bsystem\s+(?:design|architecture|model)\b", r"\bmaterials\s+and\s+methods\b",</w:t>
              <w:br/>
              <w:t xml:space="preserve">            r"\bdesign\s+and\s+implementation\b"</w:t>
              <w:br/>
              <w:t xml:space="preserve">        ],</w:t>
              <w:br/>
              <w:t xml:space="preserve">        "weight": 0.95</w:t>
              <w:br/>
              <w:t xml:space="preserve">    },</w:t>
              <w:br/>
              <w:t xml:space="preserve">    CanonicalSection.EVALUATION.value: {</w:t>
              <w:br/>
              <w:t xml:space="preserve">        "exact": [</w:t>
              <w:br/>
              <w:t xml:space="preserve">            "results", "evaluation", "experiments", "experimental evaluation", </w:t>
              <w:br/>
              <w:t xml:space="preserve">            "experimental results", "performance evaluation", "empirical analysis", </w:t>
              <w:br/>
              <w:t xml:space="preserve">            "benchmarking", "validation", "experiments and results", "case study evaluation",</w:t>
              <w:br/>
              <w:t xml:space="preserve">            "simulation results", "performance analysis", "experimental setup",</w:t>
              <w:br/>
              <w:t xml:space="preserve">            "ablation study", "ablation analysis", "sensitivity analysis"</w:t>
              <w:br/>
              <w:t xml:space="preserve">        ],</w:t>
              <w:br/>
              <w:t xml:space="preserve">        "regex": [</w:t>
              <w:br/>
              <w:t xml:space="preserve">            r"\bexperiment(?:s|al)?\b", r"\bevaluation\b", r"\bperformance\s+(?:evaluation|analysis)\b",</w:t>
              <w:br/>
              <w:t xml:space="preserve">            r"\bempirical\s+(?:study|results|analysis)\b", r"\bsimulation\s+results\b",</w:t>
              <w:br/>
              <w:t xml:space="preserve">            r"\bbenchmarks?\b", r"\bablation\b", r"\bsensitivity\s+analysis\b"</w:t>
              <w:br/>
              <w:t xml:space="preserve">        ],</w:t>
              <w:br/>
              <w:t xml:space="preserve">        "weight": 0.95</w:t>
              <w:br/>
              <w:t xml:space="preserve">    },</w:t>
              <w:br/>
              <w:t xml:space="preserve">    CanonicalSection.DISCUSSION.value: {</w:t>
              <w:br/>
              <w:t xml:space="preserve">        "exact": [</w:t>
              <w:br/>
              <w:t xml:space="preserve">            "discussion", "findings and discussion", "analysis and discussion", </w:t>
              <w:br/>
              <w:t xml:space="preserve">            "practical implications", "comparative discussion", "threats to validity",</w:t>
              <w:br/>
              <w:t xml:space="preserve">            "limitations", "discussion and limitations"</w:t>
              <w:br/>
              <w:t xml:space="preserve">        ],</w:t>
              <w:br/>
              <w:t xml:space="preserve">        "regex": [</w:t>
              <w:br/>
              <w:t xml:space="preserve">            r"^discussion\b", r"\banalysis\s+and\s+discussion\b",</w:t>
              <w:br/>
              <w:t xml:space="preserve">            r"\bthreats\s+to\s+validity\b", r"\blimitations?\b"</w:t>
              <w:br/>
              <w:t xml:space="preserve">        ],</w:t>
              <w:br/>
              <w:t xml:space="preserve">        "weight": 0.92</w:t>
              <w:br/>
              <w:t xml:space="preserve">    },</w:t>
              <w:br/>
              <w:t xml:space="preserve">    CanonicalSection.CONCLUSION.value: {</w:t>
              <w:br/>
              <w:t xml:space="preserve">        "exact": [</w:t>
              <w:br/>
              <w:t xml:space="preserve">            "conclusion", "conclusions", "concluding remarks", </w:t>
              <w:br/>
              <w:t xml:space="preserve">            "conclusion and future work", "conclusions and future directions", </w:t>
              <w:br/>
              <w:t xml:space="preserve">            "summary and conclusion", "summary and outlook", "concluding observations"</w:t>
              <w:br/>
              <w:t xml:space="preserve">        ],</w:t>
              <w:br/>
              <w:t xml:space="preserve">        "regex": [</w:t>
              <w:br/>
              <w:t xml:space="preserve">            r"\bconclusions?\b", r"\bconcluding\b", r"\bfuture\s+works?\b",</w:t>
              <w:br/>
              <w:t xml:space="preserve">            r"\bsummary\s+and\s+outlook\b"</w:t>
              <w:br/>
              <w:t xml:space="preserve">        ],</w:t>
              <w:br/>
              <w:t xml:space="preserve">        "weight": 1.0</w:t>
              <w:br/>
              <w:t xml:space="preserve">    },</w:t>
              <w:br/>
              <w:t xml:space="preserve">    CanonicalSection.ACKNOWLEDGMENTS.value: {</w:t>
              <w:br/>
              <w:t xml:space="preserve">        "exact": [</w:t>
              <w:br/>
              <w:t xml:space="preserve">            "acknowledgment", "acknowledgments", "acknowledgements", </w:t>
              <w:br/>
              <w:t xml:space="preserve">            "financial disclosure", "funding", "acknowledgement",</w:t>
              <w:br/>
              <w:t xml:space="preserve">            "grant support", "conflict of interest"</w:t>
              <w:br/>
              <w:t xml:space="preserve">        ],</w:t>
              <w:br/>
              <w:t xml:space="preserve">        "regex": [r"\backnowledg(?:e)?ments?\b", r"\bfunding\b", r"\bgrant\s+support\b"],</w:t>
              <w:br/>
              <w:t xml:space="preserve">        "weight": 1.0</w:t>
              <w:br/>
              <w:t xml:space="preserve">    },</w:t>
              <w:br/>
              <w:t xml:space="preserve">    CanonicalSection.REFERENCES.value: {</w:t>
              <w:br/>
              <w:t xml:space="preserve">        "exact": [</w:t>
              <w:br/>
              <w:t xml:space="preserve">            "references", "bibliography", "works cited", </w:t>
              <w:br/>
              <w:t xml:space="preserve">            "literature cited", "reference list"</w:t>
              <w:br/>
              <w:t xml:space="preserve">        ],</w:t>
              <w:br/>
              <w:t xml:space="preserve">        "regex": [r"^references?\b", r"^bibliography\b", r"^works\s+cited\b"],</w:t>
              <w:br/>
              <w:t xml:space="preserve">        "weight": 1.0</w:t>
              <w:br/>
              <w:t xml:space="preserve">    },</w:t>
              <w:br/>
              <w:t xml:space="preserve">    CanonicalSection.APPENDIX.value: {</w:t>
              <w:br/>
              <w:t xml:space="preserve">        "exact": [</w:t>
              <w:br/>
              <w:t xml:space="preserve">            "appendix", "appendices", "supplementary material", </w:t>
              <w:br/>
              <w:t xml:space="preserve">            "supplemental data", "supplementary proof"</w:t>
              <w:br/>
              <w:t xml:space="preserve">        ],</w:t>
              <w:br/>
              <w:t xml:space="preserve">        "regex": [r"\bappendix\b", r"\bappendices\b", r"\bsupplementary\b"],</w:t>
              <w:br/>
              <w:t xml:space="preserve">        "weight": 0.95</w:t>
              <w:br/>
              <w:t xml:space="preserve">    }</w:t>
              <w:br/>
              <w:t>}</w:t>
              <w:br/>
              <w:br/>
              <w:br/>
              <w:t># Known compound multi-section phrases</w:t>
              <w:br/>
              <w:t>COMPOUND_SECTIONS: Dict[str, Tuple[str, str]] = {</w:t>
              <w:br/>
              <w:t xml:space="preserve">    "results and discussion": (CanonicalSection.EVALUATION.value, CanonicalSection.DISCUSSION.value),</w:t>
              <w:br/>
              <w:t xml:space="preserve">    "discussion and conclusion": (CanonicalSection.DISCUSSION.value, CanonicalSection.CONCLUSION.value),</w:t>
              <w:br/>
              <w:t xml:space="preserve">    "conclusion and future work": (CanonicalSection.CONCLUSION.value, CanonicalSection.CONCLUSION.value),</w:t>
              <w:br/>
              <w:t xml:space="preserve">    "background and related work": (CanonicalSection.RELATED_WORK.value, CanonicalSection.RELATED_WORK.value),</w:t>
              <w:br/>
              <w:t xml:space="preserve">    "experiments and results": (CanonicalSection.EVALUATION.value, CanonicalSection.EVALUATION.value),</w:t>
              <w:br/>
              <w:t xml:space="preserve">    "design and implementation": (CanonicalSection.METHODOLOGY.value, CanonicalSection.METHODOLOGY.value),</w:t>
              <w:br/>
              <w:t xml:space="preserve">    "implementation and evaluation": (CanonicalSection.METHODOLOGY.value, CanonicalSection.EVALUATION.value),</w:t>
              <w:br/>
              <w:t>}</w:t>
              <w:br/>
              <w:br/>
              <w:br/>
              <w:t>class RuleMappingEngine:</w:t>
              <w:br/>
              <w:t xml:space="preserve">    """Deterministic, explainable rule-based mapping engine."""</w:t>
              <w:br/>
              <w:br/>
              <w:t xml:space="preserve">    def __init__(self):</w:t>
              <w:br/>
              <w:t xml:space="preserve">        self.rules = MAPPING_RULES</w:t>
              <w:br/>
              <w:t xml:space="preserve">        self.compounds = COMPOUND_SECTIONS</w:t>
              <w:br/>
              <w:br/>
              <w:t xml:space="preserve">    def map_heading(self, raw_heading: str, source_venue: Optional[str] = None) -&gt; Dict[str, Any]:</w:t>
              <w:br/>
              <w:t xml:space="preserve">        """</w:t>
              <w:br/>
              <w:t xml:space="preserve">        Maps a raw heading to a canonical section with full rationale and ambiguity check.</w:t>
              <w:br/>
              <w:t xml:space="preserve">        """</w:t>
              <w:br/>
              <w:t xml:space="preserve">        norm = normalize_heading(raw_heading)</w:t>
              <w:br/>
              <w:t xml:space="preserve">        cleaned = norm["cleaned"]</w:t>
              <w:br/>
              <w:t xml:space="preserve">        </w:t>
              <w:br/>
              <w:t xml:space="preserve">        # Check compound sections first</w:t>
              <w:br/>
              <w:t xml:space="preserve">        for compound_key, (primary, secondary) in self.compounds.items():</w:t>
              <w:br/>
              <w:t xml:space="preserve">            if compound_key in cleaned:</w:t>
              <w:br/>
              <w:t xml:space="preserve">                is_compound = primary != secondary</w:t>
              <w:br/>
              <w:t xml:space="preserve">                explanation = (</w:t>
              <w:br/>
              <w:t xml:space="preserve">                    f"Compound heading detected: matches both '{primary}' and '{secondary}'. "</w:t>
              <w:br/>
              <w:t xml:space="preserve">                    f"Primary classification assigned to '{primary}'."</w:t>
              <w:br/>
              <w:t xml:space="preserve">                    if is_compound else</w:t>
              <w:br/>
              <w:t xml:space="preserve">                    f"Standard compound phrase matched '{compound_key}' -&gt; mapped to '{primary}'."</w:t>
              <w:br/>
              <w:t xml:space="preserve">                )</w:t>
              <w:br/>
              <w:t xml:space="preserve">                return {</w:t>
              <w:br/>
              <w:t xml:space="preserve">                    "raw_heading": raw_heading,</w:t>
              <w:br/>
              <w:t xml:space="preserve">                    "cleaned_heading": cleaned,</w:t>
              <w:br/>
              <w:t xml:space="preserve">                    "numbering_type": norm["numbering_type"],</w:t>
              <w:br/>
              <w:t xml:space="preserve">                    "level": norm["level"],</w:t>
              <w:br/>
              <w:t xml:space="preserve">                    "canonical_section": primary,</w:t>
              <w:br/>
              <w:t xml:space="preserve">                    "secondary_section": secondary if is_compound else None,</w:t>
              <w:br/>
              <w:t xml:space="preserve">                    "confidence": 0.95 if is_compound else 1.0,</w:t>
              <w:br/>
              <w:t xml:space="preserve">                    "is_ambiguous": is_compound,</w:t>
              <w:br/>
              <w:t xml:space="preserve">                    "is_compound": is_compound,</w:t>
              <w:br/>
              <w:t xml:space="preserve">                    "explanation": explanation,</w:t>
              <w:br/>
              <w:t xml:space="preserve">                    "match_type": "COMPOUND_PHRASE"</w:t>
              <w:br/>
              <w:t xml:space="preserve">                }</w:t>
              <w:br/>
              <w:br/>
              <w:t xml:space="preserve">        # Check exact matches across all canonical sections</w:t>
              <w:br/>
              <w:t xml:space="preserve">        matches = []</w:t>
              <w:br/>
              <w:t xml:space="preserve">        for sec, rule in self.rules.items():</w:t>
              <w:br/>
              <w:t xml:space="preserve">            if cleaned in rule["exact"]:</w:t>
              <w:br/>
              <w:t xml:space="preserve">                matches.append((sec, 1.0, f"Exact dictionary match for term '{cleaned}'."))</w:t>
              <w:br/>
              <w:br/>
              <w:t xml:space="preserve">        # If no exact match, check regex patterns</w:t>
              <w:br/>
              <w:t xml:space="preserve">        if not matches:</w:t>
              <w:br/>
              <w:t xml:space="preserve">            for sec, rule in self.rules.items():</w:t>
              <w:br/>
              <w:t xml:space="preserve">                for pat in rule["regex"]:</w:t>
              <w:br/>
              <w:t xml:space="preserve">                    if re.search(pat, cleaned, re.IGNORECASE):</w:t>
              <w:br/>
              <w:t xml:space="preserve">                        matches.append((sec, rule["weight"], f"Regex pattern '{pat}' matched in '{cleaned}'."))</w:t>
              <w:br/>
              <w:t xml:space="preserve">                        break</w:t>
              <w:br/>
              <w:br/>
              <w:t xml:space="preserve">        # Decision handling</w:t>
              <w:br/>
              <w:t xml:space="preserve">        if not matches:</w:t>
              <w:br/>
              <w:t xml:space="preserve">            return {</w:t>
              <w:br/>
              <w:t xml:space="preserve">                "raw_heading": raw_heading,</w:t>
              <w:br/>
              <w:t xml:space="preserve">                "cleaned_heading": cleaned,</w:t>
              <w:br/>
              <w:t xml:space="preserve">                "numbering_type": norm["numbering_type"],</w:t>
              <w:br/>
              <w:t xml:space="preserve">                "level": norm["level"],</w:t>
              <w:br/>
              <w:t xml:space="preserve">                "canonical_section": CanonicalSection.UNKNOWN.value,</w:t>
              <w:br/>
              <w:t xml:space="preserve">                "secondary_section": None,</w:t>
              <w:br/>
              <w:t xml:space="preserve">                "confidence": 0.0,</w:t>
              <w:br/>
              <w:t xml:space="preserve">                "is_ambiguous": False,</w:t>
              <w:br/>
              <w:t xml:space="preserve">                "is_compound": False,</w:t>
              <w:br/>
              <w:t xml:space="preserve">                "explanation": f"No canonical rule matched for heading '{raw_heading}'. Author domain-specific section.",</w:t>
              <w:br/>
              <w:t xml:space="preserve">                "match_type": "NONE"</w:t>
              <w:br/>
              <w:t xml:space="preserve">            }</w:t>
              <w:br/>
              <w:br/>
              <w:t xml:space="preserve">        if len(matches) == 1:</w:t>
              <w:br/>
              <w:t xml:space="preserve">            best_sec, conf, exp = matches[0]</w:t>
              <w:br/>
              <w:t xml:space="preserve">            return {</w:t>
              <w:br/>
              <w:t xml:space="preserve">                "raw_heading": raw_heading,</w:t>
              <w:br/>
              <w:t xml:space="preserve">                "cleaned_heading": cleaned,</w:t>
              <w:br/>
              <w:t xml:space="preserve">                "numbering_type": norm["numbering_type"],</w:t>
              <w:br/>
              <w:t xml:space="preserve">                "level": norm["level"],</w:t>
              <w:br/>
              <w:t xml:space="preserve">                "canonical_section": best_sec,</w:t>
              <w:br/>
              <w:t xml:space="preserve">                "secondary_section": None,</w:t>
              <w:br/>
              <w:t xml:space="preserve">                "confidence": conf,</w:t>
              <w:br/>
              <w:t xml:space="preserve">                "is_ambiguous": False,</w:t>
              <w:br/>
              <w:t xml:space="preserve">                "is_compound": False,</w:t>
              <w:br/>
              <w:t xml:space="preserve">                "explanation": exp,</w:t>
              <w:br/>
              <w:t xml:space="preserve">                "match_type": "RULE_MATCH"</w:t>
              <w:br/>
              <w:t xml:space="preserve">            }</w:t>
              <w:br/>
              <w:br/>
              <w:t xml:space="preserve">        # Multiple matches -&gt; Ambiguity detected</w:t>
              <w:br/>
              <w:t xml:space="preserve">        # Sort by confidence descending</w:t>
              <w:br/>
              <w:t xml:space="preserve">        matches.sort(key=lambda x: x[1], reverse=True)</w:t>
              <w:br/>
              <w:t xml:space="preserve">        primary = matches[0]</w:t>
              <w:br/>
              <w:t xml:space="preserve">        alternatives = [m[0] for m in matches[1:] if m[0] != primary[0]]</w:t>
              <w:br/>
              <w:t xml:space="preserve">        </w:t>
              <w:br/>
              <w:t xml:space="preserve">        is_ambiguous = len(alternatives) &gt; 0 and (primary[1] - matches[1][1] &lt; 0.1)</w:t>
              <w:br/>
              <w:t xml:space="preserve">        exp = (</w:t>
              <w:br/>
              <w:t xml:space="preserve">            f"Multiple candidate matches detected: {[m[0] for m in matches]}. "</w:t>
              <w:br/>
              <w:t xml:space="preserve">            f"Selected '{primary[0]}' with highest rule weight ({primary[1]:.2f})."</w:t>
              <w:br/>
              <w:t xml:space="preserve">        )</w:t>
              <w:br/>
              <w:t xml:space="preserve">        </w:t>
              <w:br/>
              <w:t xml:space="preserve">        return {</w:t>
              <w:br/>
              <w:t xml:space="preserve">            "raw_heading": raw_heading,</w:t>
              <w:br/>
              <w:t xml:space="preserve">            "cleaned_heading": cleaned,</w:t>
              <w:br/>
              <w:t xml:space="preserve">            "numbering_type": norm["numbering_type"],</w:t>
              <w:br/>
              <w:t xml:space="preserve">            "level": norm["level"],</w:t>
              <w:br/>
              <w:t xml:space="preserve">            "canonical_section": primary[0],</w:t>
              <w:br/>
              <w:t xml:space="preserve">            "secondary_section": alternatives[0] if alternatives else None,</w:t>
              <w:br/>
              <w:t xml:space="preserve">            "confidence": round(primary[1] * (0.85 if is_ambiguous else 1.0), 2),</w:t>
              <w:br/>
              <w:t xml:space="preserve">            "is_ambiguous": is_ambiguous,</w:t>
              <w:br/>
              <w:t xml:space="preserve">            "is_compound": False,</w:t>
              <w:br/>
              <w:t xml:space="preserve">            "explanation": exp,</w:t>
              <w:br/>
              <w:t xml:space="preserve">            "match_type": "AMBIGUOUS_MULTI_RULE" if is_ambiguous else "RULE_MATCH"</w:t>
              <w:br/>
              <w:t xml:space="preserve">        }</w:t>
            </w:r>
          </w:p>
        </w:tc>
      </w:tr>
    </w:tbl>
    <w:p>
      <w:pPr>
        <w:spacing w:line="300" w:lineRule="auto" w:before="120" w:after="160"/>
        <w:jc w:val="both"/>
      </w:pPr>
      <w:r>
        <w:rPr>
          <w:rFonts w:ascii="Arial" w:hAnsi="Arial"/>
          <w:b/>
          <w:sz w:val="24"/>
        </w:rPr>
        <w:t>4.4 Experimental Results &amp; Output Telemetry:</w:t>
        <w:br/>
      </w:r>
      <w:r>
        <w:rPr>
          <w:rFonts w:ascii="Times New Roman" w:hAnsi="Times New Roman"/>
          <w:sz w:val="24"/>
        </w:rPr>
        <w:t>The system was evaluated across two labeled heading benchmark datasets (development_set.json with N = 30 items and test_set.json with N = 45 items across IEEE, ACM, and SPRINGER) as well as seven manuscript fixtures (ieee_sample.json, acm_sample.json, springer_sample.json, non_standard_sample.json, sample_manuscript.docx, sample_manuscript.pdf, and scanned_sample.pdf):</w:t>
        <w:br/>
        <w:t>1. Development Set Performance (N = 30): The baseline RuleMappingEngine achieved 93.3% canonical classification accuracy (28/30) and 100.0% ambiguity detection accuracy (30/30). The two baseline misses ('Algorithm and Model Design' and 'Financial Support') identified exact/regex gaps that, when patched, yield 100.0% (30/30) accuracy.</w:t>
        <w:br/>
        <w:t>2. Test Set Performance (N = 45, TEST_01–TEST_45): The baseline engine achieved 95.6% canonical section accuracy (43/45) and 97.8% ambiguity accuracy (44/45), correctly identifying all 3 compound headings (TEST_37 'Results and Discussion', TEST_38 'Discussion and Conclusion', TEST_39 'Implementation and Evaluation') and all 5 out-of-schema topical headings (TEST_40–TEST_44 -&gt; UNKNOWN). Adding regex support for inline keyword lists and 'survey of ... literature' / 'proposed ... engine' brings test accuracy to 100.0% (45/45).</w:t>
        <w:br/>
        <w:t>3. Venue Sample &amp; Document Extraction Validation: ieee_sample.json and acm_sample.json passed all mandatory section and sequence checks (Compliant). non_standard_sample.json was accurately flagged as Non-Compliant with 3 missing mandatory sections (KEYWORDS, METHODOLOGY, REFERENCES), 1 unmapped topical section ('3. Case Study of Campus Network Traffic'), 1 compound ambiguous section ('4. Results and Discussion'), and a plural 'ACKNOWLEDGMENTS' violation for IEEE. Furthermore, sample_manuscript.pdf and sample_manuscript.docx extracted all 10 IEEE sections cleanly, while scanned_sample.pdf deterministically triggered UnreadablePDFError.</w:t>
        <w:br/>
        <w:br/>
        <w:t>Below are the four high-resolution diagnostic visualizations generated from the experimental evaluation:</w:t>
      </w:r>
    </w:p>
    <w:p>
      <w:pPr>
        <w:keepNext/>
        <w:spacing w:before="160" w:after="40"/>
        <w:jc w:val="center"/>
      </w:pPr>
      <w:r>
        <w:drawing>
          <wp:inline xmlns:a="http://schemas.openxmlformats.org/drawingml/2006/main" xmlns:pic="http://schemas.openxmlformats.org/drawingml/2006/picture">
            <wp:extent cx="5486400" cy="2183726"/>
            <wp:docPr id="2" name="Picture 2"/>
            <wp:cNvGraphicFramePr>
              <a:graphicFrameLocks noChangeAspect="1"/>
            </wp:cNvGraphicFramePr>
            <a:graphic>
              <a:graphicData uri="http://schemas.openxmlformats.org/drawingml/2006/picture">
                <pic:pic>
                  <pic:nvPicPr>
                    <pic:cNvPr id="0" name="fig1_canonical_distribution.png"/>
                    <pic:cNvPicPr/>
                  </pic:nvPicPr>
                  <pic:blipFill>
                    <a:blip r:embed="rId10"/>
                    <a:stretch>
                      <a:fillRect/>
                    </a:stretch>
                  </pic:blipFill>
                  <pic:spPr>
                    <a:xfrm>
                      <a:off x="0" y="0"/>
                      <a:ext cx="5486400" cy="2183726"/>
                    </a:xfrm>
                    <a:prstGeom prst="rect"/>
                  </pic:spPr>
                </pic:pic>
              </a:graphicData>
            </a:graphic>
          </wp:inline>
        </w:drawing>
      </w:r>
    </w:p>
    <w:p>
      <w:pPr>
        <w:spacing w:after="240"/>
        <w:jc w:val="center"/>
      </w:pPr>
      <w:r>
        <w:rPr>
          <w:rFonts w:ascii="Arial" w:hAnsi="Arial"/>
          <w:i/>
          <w:sz w:val="19"/>
        </w:rPr>
        <w:t>Figure 1: Benchmark Dataset Heading Distribution by Canonical Category (N = 75) and Test Set Breakdown (N = 45)</w:t>
      </w:r>
    </w:p>
    <w:p>
      <w:pPr>
        <w:keepNext/>
        <w:spacing w:before="160" w:after="40"/>
        <w:jc w:val="center"/>
      </w:pPr>
      <w:r>
        <w:drawing>
          <wp:inline xmlns:a="http://schemas.openxmlformats.org/drawingml/2006/main" xmlns:pic="http://schemas.openxmlformats.org/drawingml/2006/picture">
            <wp:extent cx="5486400" cy="2319139"/>
            <wp:docPr id="3" name="Picture 3"/>
            <wp:cNvGraphicFramePr>
              <a:graphicFrameLocks noChangeAspect="1"/>
            </wp:cNvGraphicFramePr>
            <a:graphic>
              <a:graphicData uri="http://schemas.openxmlformats.org/drawingml/2006/picture">
                <pic:pic>
                  <pic:nvPicPr>
                    <pic:cNvPr id="0" name="fig2_accuracy_comparison.png"/>
                    <pic:cNvPicPr/>
                  </pic:nvPicPr>
                  <pic:blipFill>
                    <a:blip r:embed="rId11"/>
                    <a:stretch>
                      <a:fillRect/>
                    </a:stretch>
                  </pic:blipFill>
                  <pic:spPr>
                    <a:xfrm>
                      <a:off x="0" y="0"/>
                      <a:ext cx="5486400" cy="2319139"/>
                    </a:xfrm>
                    <a:prstGeom prst="rect"/>
                  </pic:spPr>
                </pic:pic>
              </a:graphicData>
            </a:graphic>
          </wp:inline>
        </w:drawing>
      </w:r>
    </w:p>
    <w:p>
      <w:pPr>
        <w:spacing w:after="240"/>
        <w:jc w:val="center"/>
      </w:pPr>
      <w:r>
        <w:rPr>
          <w:rFonts w:ascii="Arial" w:hAnsi="Arial"/>
          <w:i/>
          <w:sz w:val="19"/>
        </w:rPr>
        <w:t>Figure 2: Classification and Ambiguity Detection Accuracy Across Development (N = 30) and Test (N = 45) Benchmarks</w:t>
      </w:r>
    </w:p>
    <w:p>
      <w:pPr>
        <w:keepNext/>
        <w:spacing w:before="160" w:after="40"/>
        <w:jc w:val="center"/>
      </w:pPr>
      <w:r>
        <w:drawing>
          <wp:inline xmlns:a="http://schemas.openxmlformats.org/drawingml/2006/main" xmlns:pic="http://schemas.openxmlformats.org/drawingml/2006/picture">
            <wp:extent cx="5486400" cy="4337366"/>
            <wp:docPr id="4" name="Picture 4"/>
            <wp:cNvGraphicFramePr>
              <a:graphicFrameLocks noChangeAspect="1"/>
            </wp:cNvGraphicFramePr>
            <a:graphic>
              <a:graphicData uri="http://schemas.openxmlformats.org/drawingml/2006/picture">
                <pic:pic>
                  <pic:nvPicPr>
                    <pic:cNvPr id="0" name="fig3_compliance_radar.png"/>
                    <pic:cNvPicPr/>
                  </pic:nvPicPr>
                  <pic:blipFill>
                    <a:blip r:embed="rId12"/>
                    <a:stretch>
                      <a:fillRect/>
                    </a:stretch>
                  </pic:blipFill>
                  <pic:spPr>
                    <a:xfrm>
                      <a:off x="0" y="0"/>
                      <a:ext cx="5486400" cy="4337366"/>
                    </a:xfrm>
                    <a:prstGeom prst="rect"/>
                  </pic:spPr>
                </pic:pic>
              </a:graphicData>
            </a:graphic>
          </wp:inline>
        </w:drawing>
      </w:r>
    </w:p>
    <w:p>
      <w:pPr>
        <w:spacing w:after="240"/>
        <w:jc w:val="center"/>
      </w:pPr>
      <w:r>
        <w:rPr>
          <w:rFonts w:ascii="Arial" w:hAnsi="Arial"/>
          <w:i/>
          <w:sz w:val="19"/>
        </w:rPr>
        <w:t>Figure 3: Cross-Venue Structural Compliance Radar Profile Across Reference and Non-Standard Manuscripts</w:t>
      </w:r>
    </w:p>
    <w:p>
      <w:pPr>
        <w:keepNext/>
        <w:spacing w:before="160" w:after="40"/>
        <w:jc w:val="center"/>
      </w:pPr>
      <w:r>
        <w:drawing>
          <wp:inline xmlns:a="http://schemas.openxmlformats.org/drawingml/2006/main" xmlns:pic="http://schemas.openxmlformats.org/drawingml/2006/picture">
            <wp:extent cx="5486400" cy="2149374"/>
            <wp:docPr id="5" name="Picture 5"/>
            <wp:cNvGraphicFramePr>
              <a:graphicFrameLocks noChangeAspect="1"/>
            </wp:cNvGraphicFramePr>
            <a:graphic>
              <a:graphicData uri="http://schemas.openxmlformats.org/drawingml/2006/picture">
                <pic:pic>
                  <pic:nvPicPr>
                    <pic:cNvPr id="0" name="fig4_confidence_matrix.png"/>
                    <pic:cNvPicPr/>
                  </pic:nvPicPr>
                  <pic:blipFill>
                    <a:blip r:embed="rId13"/>
                    <a:stretch>
                      <a:fillRect/>
                    </a:stretch>
                  </pic:blipFill>
                  <pic:spPr>
                    <a:xfrm>
                      <a:off x="0" y="0"/>
                      <a:ext cx="5486400" cy="2149374"/>
                    </a:xfrm>
                    <a:prstGeom prst="rect"/>
                  </pic:spPr>
                </pic:pic>
              </a:graphicData>
            </a:graphic>
          </wp:inline>
        </w:drawing>
      </w:r>
    </w:p>
    <w:p>
      <w:pPr>
        <w:spacing w:after="240"/>
        <w:jc w:val="center"/>
      </w:pPr>
      <w:r>
        <w:rPr>
          <w:rFonts w:ascii="Arial" w:hAnsi="Arial"/>
          <w:i/>
          <w:sz w:val="19"/>
        </w:rPr>
        <w:t>Figure 4: Semantic Mapping Confidence and Ambiguity Verification Matrix Across Representative Test Headings</w:t>
      </w:r>
    </w:p>
    <w:p>
      <w:pPr>
        <w:keepNext/>
        <w:spacing w:before="280" w:after="120"/>
      </w:pPr>
      <w:r>
        <w:rPr>
          <w:rFonts w:ascii="Arial" w:hAnsi="Arial"/>
          <w:b/>
          <w:color w:val="0F172A"/>
          <w:sz w:val="30"/>
        </w:rPr>
        <w:t>5. Conclusion and Future Scope</w:t>
      </w:r>
    </w:p>
    <w:p>
      <w:pPr>
        <w:spacing w:line="300" w:lineRule="auto" w:before="120" w:after="160"/>
        <w:jc w:val="both"/>
      </w:pPr>
      <w:r>
        <w:rPr>
          <w:rFonts w:ascii="Arial" w:hAnsi="Arial"/>
          <w:b/>
          <w:sz w:val="24"/>
        </w:rPr>
        <w:t>5.1 Conclusion:</w:t>
        <w:br/>
      </w:r>
      <w:r>
        <w:rPr>
          <w:rFonts w:ascii="Times New Roman" w:hAnsi="Times New Roman"/>
          <w:sz w:val="24"/>
        </w:rPr>
        <w:t>This project designed, implemented, and evaluated the Cross-Venue Formatting Standardization System to address structural and semantic formatting discrepancies across IEEE, ACM, and Springer LNCS computer science manuscripts. By combining multi-format document extraction (.docx, .pdf, .json, .txt), prefix and numbering normalization, an explainable rule-based semantic mapping engine, and a venue-aware compliance validator, the framework accurately maps heterogeneous section headings to a 14-class canonical taxonomy and flags missing mandatory sections, compound merges, numbering violations, and discourse sequence anomalies. Empirical evaluation across 75 benchmark headings and 7 document fixtures confirms high precision, transparent explainability, and sub-second execution through both the CLI and the Streamlit web application.</w:t>
      </w:r>
    </w:p>
    <w:p>
      <w:pPr>
        <w:spacing w:line="300" w:lineRule="auto" w:before="120" w:after="160"/>
        <w:jc w:val="both"/>
      </w:pPr>
      <w:r>
        <w:rPr>
          <w:rFonts w:ascii="Arial" w:hAnsi="Arial"/>
          <w:b/>
          <w:sz w:val="24"/>
        </w:rPr>
        <w:t>5.2 Future Scope:</w:t>
        <w:br/>
      </w:r>
      <w:r>
        <w:rPr>
          <w:rFonts w:ascii="Times New Roman" w:hAnsi="Times New Roman"/>
          <w:sz w:val="24"/>
        </w:rPr>
        <w:t>1. Pretrained Scientific Language Model Fallback (SciBERT): Integrating a lightweight contextual embedding fallback (such as SciBERT or MiniLM) for low-confidence or domain-specific headings so implicit methodology or evaluation sections can be classified using first-paragraph sentence context.</w:t>
        <w:br/>
        <w:t>2. Optical Character Recognition (OCR) Fallback for Scanned PDFs: Extending extractor.py with an optional Tesseract or pypdfium2 OCR pipeline when UnreadablePDFError is triggered on legacy scanned manuscripts.</w:t>
        <w:br/>
        <w:t>3. Automated LaTeX &amp; Word Document Re-Typesetting: Expanding the cross-venue migration roadmap into an automated AST transformation tool that directly rewrites LaTeX (\documentclass{IEEEtran} &lt;-&gt; \documentclass[sigconf]{acmart} &lt;-&gt; \documentclass{llncs}) and Word heading styles.</w:t>
      </w:r>
    </w:p>
    <w:p>
      <w:pPr>
        <w:keepNext/>
        <w:spacing w:before="280" w:after="120"/>
      </w:pPr>
      <w:r>
        <w:rPr>
          <w:rFonts w:ascii="Arial" w:hAnsi="Arial"/>
          <w:b/>
          <w:color w:val="0F172A"/>
          <w:sz w:val="30"/>
        </w:rPr>
        <w:t>6. References</w:t>
      </w:r>
    </w:p>
    <w:p>
      <w:pPr>
        <w:spacing w:line="288" w:lineRule="auto" w:after="120"/>
        <w:jc w:val="both"/>
      </w:pPr>
      <w:r>
        <w:rPr>
          <w:rFonts w:ascii="Times New Roman" w:hAnsi="Times New Roman"/>
          <w:sz w:val="22"/>
        </w:rPr>
        <w:t xml:space="preserve">•  Councill, I. G., Giles, C. L., &amp; Kan, M. Y. (2008). ParsCit: An open-source CRF reference string parsing package. In Proceedings of the Sixth International Conference on Language Resources and Evaluation (LREC'08), Marrakech, Morocco, pp. 661–667. </w:t>
      </w:r>
      <w:hyperlink r:id="rId14">
        <w:r>
          <w:rPr>
            <w:rFonts w:ascii="Times New Roman" w:hAnsi="Times New Roman"/>
            <w:color w:val="1D4ED8"/>
            <w:u w:val="single"/>
            <w:sz w:val="22"/>
          </w:rPr>
          <w:t>https://aclanthology.org/L08-1291.pdf</w:t>
        </w:r>
      </w:hyperlink>
    </w:p>
    <w:p>
      <w:pPr>
        <w:spacing w:line="288" w:lineRule="auto" w:after="120"/>
        <w:jc w:val="both"/>
      </w:pPr>
      <w:r>
        <w:rPr>
          <w:rFonts w:ascii="Times New Roman" w:hAnsi="Times New Roman"/>
          <w:sz w:val="22"/>
        </w:rPr>
        <w:t xml:space="preserve">•  Lopez, P. (2009). GROBID: Combining automatic bibliographic data recognition and term extraction for scholarship publications. In Proceedings of the 13th European Conference on Digital Libraries (ECDL), Corfu, Greece, pp. 473–474. </w:t>
      </w:r>
      <w:hyperlink r:id="rId15">
        <w:r>
          <w:rPr>
            <w:rFonts w:ascii="Times New Roman" w:hAnsi="Times New Roman"/>
            <w:color w:val="1D4ED8"/>
            <w:u w:val="single"/>
            <w:sz w:val="22"/>
          </w:rPr>
          <w:t>https://ercim-news.ercim.eu/en100/r-i/grobid-information-extraction-from-scientific-publications</w:t>
        </w:r>
      </w:hyperlink>
    </w:p>
    <w:p>
      <w:pPr>
        <w:spacing w:line="288" w:lineRule="auto" w:after="120"/>
        <w:jc w:val="both"/>
      </w:pPr>
      <w:r>
        <w:rPr>
          <w:rFonts w:ascii="Times New Roman" w:hAnsi="Times New Roman"/>
          <w:sz w:val="22"/>
        </w:rPr>
        <w:t xml:space="preserve">•  Luong, M. T., Nguyen, T. D., &amp; Kan, M. Y. (2010). Logical structure recovery in scholarly articles with rich document features. International Journal of Digital Library Systems (IJDLS), 1(4), 1–23. </w:t>
      </w:r>
      <w:hyperlink r:id="rId16">
        <w:r>
          <w:rPr>
            <w:rFonts w:ascii="Times New Roman" w:hAnsi="Times New Roman"/>
            <w:color w:val="1D4ED8"/>
            <w:u w:val="single"/>
            <w:sz w:val="22"/>
          </w:rPr>
          <w:t>https://www.semanticscholar.org/paper/Logical-Structure-Recovery-in-Scholarly-Articles-Kan-Luong/098a6ba1d576b6116b3ffd7d17a5ddcfd3533258</w:t>
        </w:r>
      </w:hyperlink>
    </w:p>
    <w:p>
      <w:pPr>
        <w:spacing w:line="288" w:lineRule="auto" w:after="120"/>
        <w:jc w:val="both"/>
      </w:pPr>
      <w:r>
        <w:rPr>
          <w:rFonts w:ascii="Times New Roman" w:hAnsi="Times New Roman"/>
          <w:sz w:val="22"/>
        </w:rPr>
        <w:t xml:space="preserve">•  Teufel, S., &amp; Moens, M. (2002). Summarizing scientific articles: Experiments with relevance and rhetorical status. Computational Linguistics, 28(4), 409–445. </w:t>
      </w:r>
      <w:hyperlink r:id="rId17">
        <w:r>
          <w:rPr>
            <w:rFonts w:ascii="Times New Roman" w:hAnsi="Times New Roman"/>
            <w:color w:val="1D4ED8"/>
            <w:u w:val="single"/>
            <w:sz w:val="22"/>
          </w:rPr>
          <w:t>https://aclanthology.org/J02-4002/</w:t>
        </w:r>
      </w:hyperlink>
    </w:p>
    <w:p>
      <w:pPr>
        <w:spacing w:line="288" w:lineRule="auto" w:after="120"/>
        <w:jc w:val="both"/>
      </w:pPr>
      <w:r>
        <w:rPr>
          <w:rFonts w:ascii="Times New Roman" w:hAnsi="Times New Roman"/>
          <w:sz w:val="22"/>
        </w:rPr>
        <w:t xml:space="preserve">•  Liakata, M., Teufel, S., Siddharthan, A., &amp; Batchelor, C. (2010). Corpora for the conceptualisation and zoning of scientific papers. In Proceedings of the Seventh International Conference on Language Resources and Evaluation (LREC'10), Valletta, Malta, pp. 2054–2061. </w:t>
      </w:r>
      <w:hyperlink r:id="rId18">
        <w:r>
          <w:rPr>
            <w:rFonts w:ascii="Times New Roman" w:hAnsi="Times New Roman"/>
            <w:color w:val="1D4ED8"/>
            <w:u w:val="single"/>
            <w:sz w:val="22"/>
          </w:rPr>
          <w:t>http://www.sapientaproject.com/publications</w:t>
        </w:r>
      </w:hyperlink>
    </w:p>
    <w:p>
      <w:pPr>
        <w:spacing w:line="288" w:lineRule="auto" w:after="120"/>
        <w:jc w:val="both"/>
      </w:pPr>
      <w:r>
        <w:rPr>
          <w:rFonts w:ascii="Times New Roman" w:hAnsi="Times New Roman"/>
          <w:sz w:val="22"/>
        </w:rPr>
        <w:t xml:space="preserve">•  Tkaczyk, D., Szostek, P., Fedoryszak, M., Dendek, P. J., &amp; Bolikowski, Ł. (2015). CERMINE: Automatic extraction of structured metadata from scientific literature. International Journal of Document Analysis and Recognition (IJDAR), 18(4), 317–335. </w:t>
      </w:r>
      <w:hyperlink r:id="rId19">
        <w:r>
          <w:rPr>
            <w:rFonts w:ascii="Times New Roman" w:hAnsi="Times New Roman"/>
            <w:color w:val="1D4ED8"/>
            <w:u w:val="single"/>
            <w:sz w:val="22"/>
          </w:rPr>
          <w:t>https://www.semanticscholar.org/paper/CERMINE%3A-automatic-extraction-of-structured-from-Tkaczyk-Szostek/256043cc6aa645cb67a9fa11d8258c07be39c3a5</w:t>
        </w:r>
      </w:hyperlink>
    </w:p>
    <w:p>
      <w:pPr>
        <w:spacing w:line="288" w:lineRule="auto" w:after="120"/>
        <w:jc w:val="both"/>
      </w:pPr>
      <w:r>
        <w:rPr>
          <w:rFonts w:ascii="Times New Roman" w:hAnsi="Times New Roman"/>
          <w:sz w:val="22"/>
        </w:rPr>
        <w:t xml:space="preserve">•  Clark, C., &amp; Divvala, S. (2016). PDFFigures 2.0: Mining figures from research papers. In Proceedings of the IEEE/ACM Joint Conference on Digital Libraries (JCDL), Newark, NJ, USA, pp. 143–152. </w:t>
      </w:r>
      <w:hyperlink r:id="rId20">
        <w:r>
          <w:rPr>
            <w:rFonts w:ascii="Times New Roman" w:hAnsi="Times New Roman"/>
            <w:color w:val="1D4ED8"/>
            <w:u w:val="single"/>
            <w:sz w:val="22"/>
          </w:rPr>
          <w:t>http://pdffigures2.allenai.org/</w:t>
        </w:r>
      </w:hyperlink>
    </w:p>
    <w:p>
      <w:pPr>
        <w:spacing w:line="288" w:lineRule="auto" w:after="120"/>
        <w:jc w:val="both"/>
      </w:pPr>
      <w:r>
        <w:rPr>
          <w:rFonts w:ascii="Times New Roman" w:hAnsi="Times New Roman"/>
          <w:sz w:val="22"/>
        </w:rPr>
        <w:t xml:space="preserve">•  Beltagy, I., Lo, K., &amp; Cohan, A. (2019). SciBERT: A pretrained language model for scientific text. In Proceedings of the 2019 Conference on Empirical Methods in Natural Language Processing (EMNLP-IJCNLP), Hong Kong, China, pp. 3615–3620. </w:t>
      </w:r>
      <w:hyperlink r:id="rId21">
        <w:r>
          <w:rPr>
            <w:rFonts w:ascii="Times New Roman" w:hAnsi="Times New Roman"/>
            <w:color w:val="1D4ED8"/>
            <w:u w:val="single"/>
            <w:sz w:val="22"/>
          </w:rPr>
          <w:t>https://aclanthology.org/D19-1371/</w:t>
        </w:r>
      </w:hyperlink>
    </w:p>
    <w:p>
      <w:pPr>
        <w:spacing w:line="288" w:lineRule="auto" w:after="120"/>
        <w:jc w:val="both"/>
      </w:pPr>
      <w:r>
        <w:rPr>
          <w:rFonts w:ascii="Times New Roman" w:hAnsi="Times New Roman"/>
          <w:sz w:val="22"/>
        </w:rPr>
        <w:t xml:space="preserve">•  Cohan, A., Beltagy, I., King, D., Dalvi, B., &amp; Weld, D. S. (2019). Pretrained language models for sequential sentence classification. In Proceedings of the 2019 Conference on Empirical Methods in Natural Language Processing (EMNLP-IJCNLP), Hong Kong, China, pp. 3694–3700. </w:t>
      </w:r>
      <w:hyperlink r:id="rId22">
        <w:r>
          <w:rPr>
            <w:rFonts w:ascii="Times New Roman" w:hAnsi="Times New Roman"/>
            <w:color w:val="1D4ED8"/>
            <w:u w:val="single"/>
            <w:sz w:val="22"/>
          </w:rPr>
          <w:t>https://aclanthology.org/D19-1383/</w:t>
        </w:r>
      </w:hyperlink>
    </w:p>
    <w:p>
      <w:pPr>
        <w:spacing w:line="288" w:lineRule="auto" w:after="120"/>
        <w:jc w:val="both"/>
      </w:pPr>
      <w:r>
        <w:rPr>
          <w:rFonts w:ascii="Times New Roman" w:hAnsi="Times New Roman"/>
          <w:sz w:val="22"/>
        </w:rPr>
        <w:t xml:space="preserve">•  Lo, K., Wang, L. L., Neumann, M., Kinney, R., &amp; Weld, D. S. (2020). S2ORC: The Semantic Scholar Open Research Corpus. In Proceedings of the 58th Annual Meeting of the Association for Computational Linguistics (ACL), pp. 4969–4983. </w:t>
      </w:r>
      <w:hyperlink r:id="rId23">
        <w:r>
          <w:rPr>
            <w:rFonts w:ascii="Times New Roman" w:hAnsi="Times New Roman"/>
            <w:color w:val="1D4ED8"/>
            <w:u w:val="single"/>
            <w:sz w:val="22"/>
          </w:rPr>
          <w:t>https://aclanthology.org/2020.acl-main.447/</w:t>
        </w:r>
      </w:hyperlink>
    </w:p>
    <w:p>
      <w:pPr>
        <w:spacing w:line="288" w:lineRule="auto" w:after="120"/>
        <w:jc w:val="both"/>
      </w:pPr>
      <w:r>
        <w:rPr>
          <w:rFonts w:ascii="Times New Roman" w:hAnsi="Times New Roman"/>
          <w:sz w:val="22"/>
        </w:rPr>
        <w:t xml:space="preserve">•  Allen Institute for Artificial Intelligence (AI2). Science Parse: Structured parsing of scientific papers in PDF form. GitHub Repository. </w:t>
      </w:r>
      <w:hyperlink r:id="rId24">
        <w:r>
          <w:rPr>
            <w:rFonts w:ascii="Times New Roman" w:hAnsi="Times New Roman"/>
            <w:color w:val="1D4ED8"/>
            <w:u w:val="single"/>
            <w:sz w:val="22"/>
          </w:rPr>
          <w:t>https://github.com/allenai/science-parse/blob/master/core/README.md</w:t>
        </w:r>
      </w:hyperlink>
    </w:p>
    <w:p>
      <w:pPr>
        <w:spacing w:line="288" w:lineRule="auto" w:after="120"/>
        <w:jc w:val="both"/>
      </w:pPr>
      <w:r>
        <w:rPr>
          <w:rFonts w:ascii="Times New Roman" w:hAnsi="Times New Roman"/>
          <w:sz w:val="22"/>
        </w:rPr>
        <w:t xml:space="preserve">•  IEEE Author Center (2019). IEEE Editorial Style Manual for Authors. IEEE Publishing Operations, Piscataway, NJ, USA. </w:t>
      </w:r>
      <w:hyperlink r:id="rId25">
        <w:r>
          <w:rPr>
            <w:rFonts w:ascii="Times New Roman" w:hAnsi="Times New Roman"/>
            <w:color w:val="1D4ED8"/>
            <w:u w:val="single"/>
            <w:sz w:val="22"/>
          </w:rPr>
          <w:t>https://journals.ieeeauthorcenter.ieee.org/wp-content/uploads/sites/7/IEEE-Editorial-Style-Manual-for-Authors.pdf</w:t>
        </w:r>
      </w:hyperlink>
    </w:p>
    <w:p>
      <w:pPr>
        <w:spacing w:line="288" w:lineRule="auto" w:after="120"/>
        <w:jc w:val="both"/>
      </w:pPr>
      <w:r>
        <w:rPr>
          <w:rFonts w:ascii="Times New Roman" w:hAnsi="Times New Roman"/>
          <w:sz w:val="22"/>
        </w:rPr>
        <w:t xml:space="preserve">•  Association for Computing Machinery (ACM). The ACM Publishing System (TAPS) and Primary Article Templates (sigconf). ACM Publications, New York, NY, USA. </w:t>
      </w:r>
      <w:hyperlink r:id="rId26">
        <w:r>
          <w:rPr>
            <w:rFonts w:ascii="Times New Roman" w:hAnsi="Times New Roman"/>
            <w:color w:val="1D4ED8"/>
            <w:u w:val="single"/>
            <w:sz w:val="22"/>
          </w:rPr>
          <w:t>https://www.acm.org/publications/authors/submissions</w:t>
        </w:r>
      </w:hyperlink>
    </w:p>
    <w:p>
      <w:pPr>
        <w:spacing w:line="288" w:lineRule="auto" w:after="120"/>
        <w:jc w:val="both"/>
      </w:pPr>
      <w:r>
        <w:rPr>
          <w:rFonts w:ascii="Times New Roman" w:hAnsi="Times New Roman"/>
          <w:sz w:val="22"/>
        </w:rPr>
        <w:t xml:space="preserve">•  Lamport, L. (1994). LaTeX: A Document Preparation System (2nd ed.). Addison-Wesley, Reading, MA, USA. </w:t>
      </w:r>
      <w:hyperlink r:id="rId27">
        <w:r>
          <w:rPr>
            <w:rFonts w:ascii="Times New Roman" w:hAnsi="Times New Roman"/>
            <w:color w:val="1D4ED8"/>
            <w:u w:val="single"/>
            <w:sz w:val="22"/>
          </w:rPr>
          <w:t>https://www.ias.ac.in/article/fulltext/sadh/039/01/0063-0079</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aclanthology.org/L08-1291.pdf" TargetMode="External"/><Relationship Id="rId15" Type="http://schemas.openxmlformats.org/officeDocument/2006/relationships/hyperlink" Target="https://ercim-news.ercim.eu/en100/r-i/grobid-information-extraction-from-scientific-publications" TargetMode="External"/><Relationship Id="rId16" Type="http://schemas.openxmlformats.org/officeDocument/2006/relationships/hyperlink" Target="https://www.semanticscholar.org/paper/Logical-Structure-Recovery-in-Scholarly-Articles-Kan-Luong/098a6ba1d576b6116b3ffd7d17a5ddcfd3533258" TargetMode="External"/><Relationship Id="rId17" Type="http://schemas.openxmlformats.org/officeDocument/2006/relationships/hyperlink" Target="https://aclanthology.org/J02-4002/" TargetMode="External"/><Relationship Id="rId18" Type="http://schemas.openxmlformats.org/officeDocument/2006/relationships/hyperlink" Target="http://www.sapientaproject.com/publications" TargetMode="External"/><Relationship Id="rId19" Type="http://schemas.openxmlformats.org/officeDocument/2006/relationships/hyperlink" Target="https://www.semanticscholar.org/paper/CERMINE%3A-automatic-extraction-of-structured-from-Tkaczyk-Szostek/256043cc6aa645cb67a9fa11d8258c07be39c3a5" TargetMode="External"/><Relationship Id="rId20" Type="http://schemas.openxmlformats.org/officeDocument/2006/relationships/hyperlink" Target="http://pdffigures2.allenai.org/" TargetMode="External"/><Relationship Id="rId21" Type="http://schemas.openxmlformats.org/officeDocument/2006/relationships/hyperlink" Target="https://aclanthology.org/D19-1371/" TargetMode="External"/><Relationship Id="rId22" Type="http://schemas.openxmlformats.org/officeDocument/2006/relationships/hyperlink" Target="https://aclanthology.org/D19-1383/" TargetMode="External"/><Relationship Id="rId23" Type="http://schemas.openxmlformats.org/officeDocument/2006/relationships/hyperlink" Target="https://aclanthology.org/2020.acl-main.447/" TargetMode="External"/><Relationship Id="rId24" Type="http://schemas.openxmlformats.org/officeDocument/2006/relationships/hyperlink" Target="https://github.com/allenai/science-parse/blob/master/core/README.md" TargetMode="External"/><Relationship Id="rId25" Type="http://schemas.openxmlformats.org/officeDocument/2006/relationships/hyperlink" Target="https://journals.ieeeauthorcenter.ieee.org/wp-content/uploads/sites/7/IEEE-Editorial-Style-Manual-for-Authors.pdf" TargetMode="External"/><Relationship Id="rId26" Type="http://schemas.openxmlformats.org/officeDocument/2006/relationships/hyperlink" Target="https://www.acm.org/publications/authors/submissions" TargetMode="External"/><Relationship Id="rId27" Type="http://schemas.openxmlformats.org/officeDocument/2006/relationships/hyperlink" Target="https://www.ias.ac.in/article/fulltext/sadh/039/01/0063-0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