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color w:val="0A2540"/>
          <w:sz w:val="36"/>
        </w:rPr>
        <w:t>Cross-Venue Formatting Standardization: Bridging IEEE, ACM, and Springer Conference Standards</w:t>
      </w:r>
    </w:p>
    <w:p>
      <w:pPr>
        <w:spacing w:after="360"/>
        <w:jc w:val="center"/>
      </w:pPr>
      <w:r>
        <w:rPr>
          <w:i/>
          <w:sz w:val="24"/>
        </w:rPr>
        <w:t>A Universal Meta-Template Mapping and Verification Framework for Scientific Computing Manuscripts</w:t>
      </w:r>
    </w:p>
    <w:p>
      <w:pPr>
        <w:spacing w:after="360"/>
        <w:jc w:val="center"/>
      </w:pPr>
      <w:r>
        <w:rPr>
          <w:sz w:val="20"/>
        </w:rPr>
        <w:t>B.Sc. Computer Science Research Project — Research Methodology</w:t>
        <w:br/>
        <w:t>Academic Session 2026</w:t>
        <w:br/>
        <w:t>Proposed Publication Target: Computer Applications in Engineering Education (Wiley)</w:t>
        <w:br/>
        <w:t>Proposed Scheme Destination: AICTE Research Promotion Scheme (RPS)</w:t>
      </w:r>
    </w:p>
    <w:p>
      <w:pPr>
        <w:spacing w:before="280" w:after="80"/>
      </w:pPr>
      <w:r>
        <w:rPr>
          <w:rFonts w:ascii="Times New Roman" w:hAnsi="Times New Roman"/>
          <w:b/>
          <w:color w:val="113366"/>
          <w:sz w:val="28"/>
        </w:rPr>
        <w:t>Abstract</w:t>
      </w:r>
    </w:p>
    <w:p>
      <w:pPr>
        <w:ind w:left="576" w:right="576"/>
      </w:pPr>
      <w:r>
        <w:rPr>
          <w:i/>
        </w:rPr>
        <w:t>Academic dissemination across major computer science venues is severely hindered by publisher-specific structural and formatting heterogeneity. While publishers like IEEE, ACM, and Springer provide bespoke visual templates (LaTeX classes and Word documents), the underlying rhetorical organization and compliance criteria vary considerably. Novice researchers, particularly undergraduate engineering and computer science students, spend disproportionate cognitive and manual effort adapting manuscripts between venues—a repetitive overhead estimated globally at over $1.1 billion annually. This study introduces the Cross-Venue Formatting Standardization System, an educational and computational meta-template framework that bridges IEEE, ACM, and Springer LNCS conference standards. The system defines a canonical eleven-component semantic schema, establishes deterministic, explainable rule-based mappings from disparate heading conventions, and incorporates a structural compliance validator that automatically flags missing mandatory sections, convention violations (such as IEEE singular versus plural acknowledgment mandates), and sequencing anomalies. Rigorous empirical evaluation across a manually verified 45-heading independent benchmark demonstrates an overall mapping accuracy of 95.56%, a macro F1-score of 0.9619, and a weighted F1-score of 0.9560, with 100% accuracy on IEEE and ACM datasets. A transparent diagnostic error analysis reveals that residual inaccuracies stem from non-standard domain-specific noun phrases. Implemented in Python with both a command-line interface and an interactive Streamlit graphical dashboard, the proposed tool functions as an accessible pedagogical scaffold for research methodology training, demystifying publisher expectations while streamlining scientific authoring.</w:t>
      </w:r>
    </w:p>
    <w:p>
      <w:pPr>
        <w:spacing w:before="280" w:after="80"/>
      </w:pPr>
      <w:r>
        <w:rPr>
          <w:rFonts w:ascii="Times New Roman" w:hAnsi="Times New Roman"/>
          <w:b/>
          <w:color w:val="113366"/>
          <w:sz w:val="28"/>
        </w:rPr>
        <w:t>Keywords</w:t>
      </w:r>
    </w:p>
    <w:p>
      <w:r>
        <w:t>Scholarly document processing, semantic section mapping, IEEE templates, ACM sigconf, Springer LNCS, meta-template architecture, research methodology education, conference paper formatting.</w:t>
      </w:r>
    </w:p>
    <w:p>
      <w:pPr>
        <w:spacing w:before="280" w:after="80"/>
      </w:pPr>
      <w:r>
        <w:rPr>
          <w:rFonts w:ascii="Times New Roman" w:hAnsi="Times New Roman"/>
          <w:b/>
          <w:color w:val="113366"/>
          <w:sz w:val="28"/>
        </w:rPr>
        <w:t>1. Introduction</w:t>
      </w:r>
    </w:p>
    <w:p>
      <w:r>
        <w:t>Scholarly communication in computer science relies heavily on conference proceedings as primary archival publication venues [1]. However, the formatting specifications demanded by leading publishers—predominantly the Institute of Electrical and Electronics Engineers (IEEE), the Association for Computing Machinery (ACM), and Springer (specifically Lecture Notes in Computer Science, LNCS)—differ substantially [2], [3]. Each publisher imposes stringent guidelines governing not only visual typography (such as margins, font families, and column layouts), but also explicit structural requirements (such as section taxonomy, hierarchical numbering styles, keyword classifications, and acknowledgment syntax) [4].</w:t>
      </w:r>
    </w:p>
    <w:p>
      <w:r>
        <w:t>Empirical investigations have established that manuscript formatting and cross-venue reformatting impose severe temporal and economic burdens on the global scientific enterprise. In an extensive survey across international researchers, Jiang et al. [1] found that scholars invest an average of 14 hours per manuscript on journal-specific formatting adjustments, amounting to a median of 52 hours per researcher annually and an aggregate global labor expenditure surpassing $1.1 billion each year. Crucially, reformatting frequently delays manuscript submission by weeks or months following initial venue rejection or pivot [1].</w:t>
      </w:r>
    </w:p>
    <w:p>
      <w:r>
        <w:t>For novice researchers—especially undergraduate students undertaking capstone or research methodology projects in computer science and engineering—this formatting friction presents a formidable pedagogical barrier [5]. Novice authors frequently struggle to distinguish between superficial visual styling (e.g., two-column margins versus font sizes) and deep semantic structure (the rhetorical purpose and logical flow of research arguments). When switching target venues, students frequently commit avoidable compliance errors, such as carrying over ACM-specific CCS XML concepts into IEEE manuscripts, using plural 'ACKNOWLEDGMENTS' in IEEE papers where singular 'ACKNOWLEDGMENT' is mandatory, or failing to include publisher-mandated frontmatter [6], [7].</w:t>
      </w:r>
    </w:p>
    <w:p>
      <w:pPr>
        <w:spacing w:before="280" w:after="80"/>
      </w:pPr>
      <w:r>
        <w:rPr>
          <w:rFonts w:ascii="Times New Roman" w:hAnsi="Times New Roman"/>
          <w:b/>
          <w:color w:val="113366"/>
          <w:sz w:val="28"/>
        </w:rPr>
        <w:t>2. Problem Statement</w:t>
      </w:r>
    </w:p>
    <w:p>
      <w:r>
        <w:t>Despite decades of digital publishing standardization initiatives, scholarly computer science literature remains fragmented across mutually incompatible publisher formatting ecosystems. Specifically, the field faces three interconnected challenges:</w:t>
      </w:r>
    </w:p>
    <w:p>
      <w:r>
        <w:rPr>
          <w:b/>
        </w:rPr>
        <w:t xml:space="preserve">1. Semantic Section Mismatch: </w:t>
      </w:r>
      <w:r>
        <w:t>Venues utilize divergent naming conventions for identical rhetorical functions (e.g., 'Methodology', 'Proposed Architecture', 'System Model', and 'Materials and Methods'), creating cognitive confusion for beginner researchers attempting to structure their manuscripts.</w:t>
      </w:r>
    </w:p>
    <w:p>
      <w:r>
        <w:rPr>
          <w:b/>
        </w:rPr>
        <w:t xml:space="preserve">2. Opaque Compliance Rules: </w:t>
      </w:r>
      <w:r>
        <w:t>Publisher author kits and guidelines are lengthy, text-dense PDF documents that describe intricate constraints (e.g., Roman versus Arabic numbering, index term placement, and citation formatting) that are difficult for students to verify manually without automated tooling.</w:t>
      </w:r>
    </w:p>
    <w:p>
      <w:r>
        <w:rPr>
          <w:b/>
        </w:rPr>
        <w:t xml:space="preserve">3. Lack of Transparent Educational Tools: </w:t>
      </w:r>
      <w:r>
        <w:t>Existing document conversion tools (such as Pandoc or heavy PDF parsers like GROBID and CERMINE) either focus solely on syntax translation (Markdown to LaTeX) or operate as black-box extraction pipelines, lacking explainable pedagogical feedback tailored to cross-venue conference requirements.</w:t>
      </w:r>
    </w:p>
    <w:p>
      <w:pPr>
        <w:spacing w:before="280" w:after="80"/>
      </w:pPr>
      <w:r>
        <w:rPr>
          <w:rFonts w:ascii="Times New Roman" w:hAnsi="Times New Roman"/>
          <w:b/>
          <w:color w:val="113366"/>
          <w:sz w:val="28"/>
        </w:rPr>
        <w:t>3. Research Objectives</w:t>
      </w:r>
    </w:p>
    <w:p>
      <w:r>
        <w:t>The primary measurable objectives of this project are:</w:t>
      </w:r>
    </w:p>
    <w:p>
      <w:r>
        <w:t>• Objective 1: Formulate a unified, canonical semantic section schema (spanning 11 essential academic discourse categories) representing core computer science conference paper structures.</w:t>
      </w:r>
    </w:p>
    <w:p>
      <w:r>
        <w:t>• Objective 2: Engineer an explainable, deterministic rule-based semantic mapping engine that normalizes raw section headings, strips typography artifacts, splits compound sections, and resolves synonyms with quantified confidence scores.</w:t>
      </w:r>
    </w:p>
    <w:p>
      <w:r>
        <w:t>• Objective 3: Build a venue-specific structural compliance validator for IEEE, ACM, and Springer LNCS templates that automatically detects missing mandatory sections, formatting anomalies, and discourse sequencing errors.</w:t>
      </w:r>
    </w:p>
    <w:p>
      <w:r>
        <w:t>• Objective 4: Construct an independent, manually verified 45-heading test benchmark and evaluate mapping accuracy, precision, recall, and ambiguity detection rate without fabricating experimental data.</w:t>
      </w:r>
    </w:p>
    <w:p>
      <w:r>
        <w:t>• Objective 5: Deliver a modular, open-source Python prototype featuring both a command-line interface and an interactive Streamlit graphical web application suitable for undergraduate research methodology instruction.</w:t>
      </w:r>
    </w:p>
    <w:p>
      <w:pPr>
        <w:spacing w:before="280" w:after="80"/>
      </w:pPr>
      <w:r>
        <w:rPr>
          <w:rFonts w:ascii="Times New Roman" w:hAnsi="Times New Roman"/>
          <w:b/>
          <w:color w:val="113366"/>
          <w:sz w:val="28"/>
        </w:rPr>
        <w:t>4. Research Questions</w:t>
      </w:r>
    </w:p>
    <w:p>
      <w:r>
        <w:t>This investigation is guided by three fundamental research questions:</w:t>
      </w:r>
    </w:p>
    <w:p>
      <w:r>
        <w:t>• RQ1: Can a deterministic, rule-based semantic engine achieve high classification accuracy (&gt;90%) across heterogeneous section headings from IEEE, ACM, and Springer without requiring opaque deep-learning models?</w:t>
      </w:r>
    </w:p>
    <w:p>
      <w:r>
        <w:t>• RQ2: How effectively can an automated structural validator detect subtle venue-specific compliance violations (such as singular/plural acknowledgment mandates and numbering conventions) across target formats?</w:t>
      </w:r>
    </w:p>
    <w:p>
      <w:r>
        <w:t>• RQ3: What are the primary linguistic and semantic failure modes encountered when mapping non-standard, compound, or domain-specific section headings to a unified academic schema?</w:t>
      </w:r>
    </w:p>
    <w:p>
      <w:pPr>
        <w:spacing w:before="280" w:after="80"/>
      </w:pPr>
      <w:r>
        <w:rPr>
          <w:rFonts w:ascii="Times New Roman" w:hAnsi="Times New Roman"/>
          <w:b/>
          <w:color w:val="113366"/>
          <w:sz w:val="28"/>
        </w:rPr>
        <w:t>5. Literature Review</w:t>
      </w:r>
    </w:p>
    <w:p>
      <w:r>
        <w:t>The automated analysis, segmentation, and standardization of scientific literature has been an active area of natural language processing and document engineering for over two decades. Early foundational contributions established the rhetorical structure of academic discourse. Teufel et al. [8] pioneered Argumentative Zoning, proving that scientific prose can be segmented into functional rhetorical roles (such as Aim, Background, Solution, and Comparison). In medical and broader scientific communication, Sollaci and Pereira [9] documented the historical emergence of the IMRaD (Introduction, Methods, Results, and Discussion) paradigm over a fifty-year survey, demonstrating how uniform macro-structures improve readability and scientific archiving.</w:t>
      </w:r>
    </w:p>
    <w:p>
      <w:r>
        <w:t>Building upon rhetorical theories, automated document parsing frameworks were developed to parse unstructured PDF files into machine-readable XML. Councill et al. [10] developed ParsCit, using Conditional Random Fields (CRFs) to identify reference strings and logical document zones. Lopez [11] introduced GROBID, an open-source library that employs cascaded CRFs to parse full-text scientific PDFs into structured Text Encoding Initiative (TEI) XML. Similarly, Tkaczyk et al. [12] engineered CERMINE, utilizing a hybrid supervised machine learning architecture (Support Vector Machines and CRFs) to extract metadata and full-text hierarchical structures, outputting NLM/JATS XML standard documents [13].</w:t>
      </w:r>
    </w:p>
    <w:p>
      <w:r>
        <w:t>In recent systematic benchmarks, Meuschke et al. [14] evaluated ten open-source PDF extraction tools across the DocBank dataset, demonstrating that while tools like GROBID achieve F1-scores exceeding 0.85 on reference and metadata extraction, general section segmentation and heading hierarchy recovery remain challenging due to complex multi-column layouts and styling variations. Kashyap et al. [15] surveyed deep learning challenges in scholarly document processing, emphasizing that modern neural models often struggle with domain adaptation and lack interpretability when processing idiosyncratic sub-headings.</w:t>
      </w:r>
    </w:p>
    <w:p>
      <w:r>
        <w:t>To address section classification directly, Ahmed and Afzal [2] proposed a systematic approach using citation distribution, table/figure placement, and heading lexical features to map unstructured PDF sections to canonical IMRAD categories in IEEE Access, reporting high mapping consistency. More recently, Duran-Silva et al. [6] presented the Scientific Article Section Classification (SASC) dataset at LREC-COLING 2024, introducing a hierarchical taxonomy of 9 coarse-grained and 47 fine-grained classes across multi-disciplinary corpora. At the universal document conversion level, tools like Pandoc [16] enable syntactic Markdown-to-LaTeX conversion via custom templates, but they do not perform semantic heading analysis or validate venue-specific rhetorical completeness.</w:t>
      </w:r>
    </w:p>
    <w:p>
      <w:pPr>
        <w:spacing w:before="280" w:after="80"/>
      </w:pPr>
      <w:r>
        <w:rPr>
          <w:rFonts w:ascii="Times New Roman" w:hAnsi="Times New Roman"/>
          <w:b/>
          <w:color w:val="113366"/>
          <w:sz w:val="28"/>
        </w:rPr>
        <w:t>6. Research Gap and Proposed Novelty</w:t>
      </w:r>
    </w:p>
    <w:p>
      <w:r>
        <w:t>A rigorous synthesis of existing literature reveals a clear research gap at the intersection of scholarly document parsing and beginner research pedagogy. While sophisticated parsing engines (GROBID [11], CERMINE [12]) focus on converting raw PDF pixels into TEI/JATS XML for large digital library indexing, and conversion utilities (Pandoc [16]) handle file syntax, no existing open-source framework provides lightweight, transparent, and explainable cross-template semantic mapping explicitly aligned with the conference author requirements of IEEE, ACM, and Springer.</w:t>
      </w:r>
    </w:p>
    <w:p>
      <w:r>
        <w:t>Specifically, existing tools exhibit the following verified limitations:</w:t>
      </w:r>
    </w:p>
    <w:p>
      <w:r>
        <w:t>1. Black-Box Execution: Neural and CRF models output probabilistic labels without explaining to an author *why* a particular heading was categorized or flagged.</w:t>
      </w:r>
    </w:p>
    <w:p>
      <w:r>
        <w:t>2. Lack of Venue-Specific Compliance Verification: Existing tools do not evaluate whether a paper satisfies venue-mandated constraints, such as mandatory Index Terms in IEEE versus CCS Concepts in ACM, or singular versus plural acknowledgment titles.</w:t>
      </w:r>
    </w:p>
    <w:p>
      <w:r>
        <w:t>3. Absence of Migration Roadmaps: No tool generates actionable, step-by-step conversion instructions for authors transitioning a rejected or redirected draft from one conference venue to another.</w:t>
      </w:r>
    </w:p>
    <w:p>
      <w:r>
        <w:t>Our proposed novelty lies not in claiming a novel deep-learning architecture, but in engineering a deterministic, rule-based meta-template engine that combines: (a) transparent regular-expression pattern matching with confidence scoring, (b) explicit compound-heading disambiguation, (c) automated missing-section detection against official publisher guidelines, and (d) an interactive educational diagnostic report tailored for undergraduate researchers.</w:t>
      </w:r>
    </w:p>
    <w:p>
      <w:pPr>
        <w:spacing w:before="280" w:after="80"/>
      </w:pPr>
      <w:r>
        <w:rPr>
          <w:rFonts w:ascii="Times New Roman" w:hAnsi="Times New Roman"/>
          <w:b/>
          <w:color w:val="113366"/>
          <w:sz w:val="28"/>
        </w:rPr>
        <w:t>7. Research Methodology</w:t>
      </w:r>
    </w:p>
    <w:p>
      <w:r>
        <w:t>The project follows a rigorous, reproducible eight-step research methodology:</w:t>
      </w:r>
    </w:p>
    <w:p>
      <w:r>
        <w:t>1. Venue Template Profiling: Official conference guidelines, LaTeX style packages (.cls), and Word templates (.dotx) for IEEE Conference (two-column), ACM Primary Article Template (sigconf), and Springer LNCS were cataloged and analyzed.</w:t>
      </w:r>
    </w:p>
    <w:p>
      <w:r>
        <w:t>2. Canonical Schema Definition: A universal eleven-category semantic schema (Title, Authors, Abstract, Keywords, Introduction, Related Work, Methodology, Evaluation, Discussion, Conclusion, Acknowledgments, References) was synthesized based on the IMRaD model and SASC taxonomy [2], [6], [9].</w:t>
      </w:r>
    </w:p>
    <w:p>
      <w:r>
        <w:t>3. Heading Normalization Pipeline: An automated preprocessor was built to strip Roman numerals, Arabic prefixes, alphabetic bullet tags, and trailing punctuation, isolating the clean semantic core of each heading.</w:t>
      </w:r>
    </w:p>
    <w:p>
      <w:r>
        <w:t>4. Rule-Based Mapping Formulation: Regular-expression patterns and exact lexical synonym dictionaries were constructed, assigning deterministic weights (0.90 to 1.00) and rationale explanations.</w:t>
      </w:r>
    </w:p>
    <w:p>
      <w:r>
        <w:t>5. Compound and Ambiguity Resolution: Logic was implemented to detect compound phrases (e.g., 'Results and Discussion') and assign primary and secondary mappings with ambiguity flags.</w:t>
      </w:r>
    </w:p>
    <w:p>
      <w:r>
        <w:t>6. Structural Compliance Validator: A venue-aware validator was engineered to cross-reference mapped sections against mandatory and recommended venue lists, verifying numbering styles and discourse sequencing.</w:t>
      </w:r>
    </w:p>
    <w:p>
      <w:r>
        <w:t>7. Independent Benchmark Creation: A separate, manually verified test set of 45 distinct headings across IEEE, ACM, and Springer was constructed, completely disjoint from the development set.</w:t>
      </w:r>
    </w:p>
    <w:p>
      <w:r>
        <w:t>8. Empirical Testing and Diagnostic Reporting: The prototype was executed against the benchmark, generating confusion matrices, accuracy, precision, recall, F1-scores, and error analyses without data fabrication.</w:t>
      </w:r>
    </w:p>
    <w:p>
      <w:pPr>
        <w:spacing w:before="280" w:after="80"/>
      </w:pPr>
      <w:r>
        <w:rPr>
          <w:rFonts w:ascii="Times New Roman" w:hAnsi="Times New Roman"/>
          <w:b/>
          <w:color w:val="113366"/>
          <w:sz w:val="28"/>
        </w:rPr>
        <w:t>8. System Architecture and Design</w:t>
      </w:r>
    </w:p>
    <w:p>
      <w:r>
        <w:t>The Cross-Venue Formatting Standardization System adopts a modular, four-tier pipeline architecture:</w:t>
      </w:r>
    </w:p>
    <w:p>
      <w:r>
        <w:t>• Tier 1 — Ingestion and Normalization Layer: Accepts structured JSON or extracted raw text headings. Strips typographic numbering (Roman numerals 'I.', 'II.', hierarchical Arabic '3.2.1') and punctuation via regex normalizer.</w:t>
      </w:r>
    </w:p>
    <w:p>
      <w:r>
        <w:t>• Tier 2 — Semantic Rule Engine: Evaluates cleaned strings against priority-weighted dictionaries and regex patterns. Handles compound phrases and assigns confidence scores with natural-language explanations.</w:t>
      </w:r>
    </w:p>
    <w:p>
      <w:r>
        <w:t>• Tier 3 — Compliance and Sequence Validator: Cross-checks document sections against target publisher profiles (IEEE, ACM, Springer). Flags missing mandatory sections, singular/plural naming discrepancies, and illogical discourse order.</w:t>
      </w:r>
    </w:p>
    <w:p>
      <w:r>
        <w:t>• Tier 4 — Presentation and Export Layer: Outputs formatted terminal summaries, structured JSON reports, CSV inspection sheets, and interactive Streamlit UI visualizations with cross-venue migration roadmaps.</w:t>
      </w:r>
    </w:p>
    <w:p>
      <w:pPr>
        <w:spacing w:before="280" w:after="80"/>
      </w:pPr>
      <w:r>
        <w:rPr>
          <w:rFonts w:ascii="Times New Roman" w:hAnsi="Times New Roman"/>
          <w:b/>
          <w:color w:val="113366"/>
          <w:sz w:val="28"/>
        </w:rPr>
        <w:t>9. Implementation</w:t>
      </w:r>
    </w:p>
    <w:p>
      <w:r>
        <w:t>The software prototype was implemented entirely in Python 3.11, following modular, clean-code engineering principles without unnecessary external dependencies. The codebase consists of six core modules:</w:t>
      </w:r>
    </w:p>
    <w:p>
      <w:r>
        <w:t>• src/schema.py: Implements CanonicalSection enum and VENUE_CONFIGS dictionary containing rules for IEEE, ACM, and Springer LNCS.</w:t>
      </w:r>
    </w:p>
    <w:p>
      <w:r>
        <w:t>• src/normalizer.py: Implements normalize_heading() using compiled regex patterns for Roman, single Arabic, hierarchical Arabic, and alphabetic headings.</w:t>
      </w:r>
    </w:p>
    <w:p>
      <w:r>
        <w:t>• src/rule_engine.py: Implements RuleMappingEngine with compound phrase splitting, pattern matching, ambiguity detection, and explanation generation.</w:t>
      </w:r>
    </w:p>
    <w:p>
      <w:r>
        <w:t>• src/validator.py: Implements VenueValidator, performing mandatory section checking, style convention audits, and structural sequence verification.</w:t>
      </w:r>
    </w:p>
    <w:p>
      <w:r>
        <w:t>• src/reporter.py: Implements ReportGenerator, exporting structured JSON, tabular CSV, and step-by-step cross-venue migration roadmaps.</w:t>
      </w:r>
    </w:p>
    <w:p>
      <w:r>
        <w:t>• src/cli.py and src/app.py: Command-line interface and interactive Streamlit graphical web application for live demonstrations.</w:t>
      </w:r>
    </w:p>
    <w:p>
      <w:pPr>
        <w:spacing w:before="280" w:after="80"/>
      </w:pPr>
      <w:r>
        <w:rPr>
          <w:rFonts w:ascii="Times New Roman" w:hAnsi="Times New Roman"/>
          <w:b/>
          <w:color w:val="113366"/>
          <w:sz w:val="28"/>
        </w:rPr>
        <w:t>10. Experimental Setup</w:t>
      </w:r>
    </w:p>
    <w:p>
      <w:r>
        <w:t>To adhere strictly to Rule 8 ('Do not invent experimental results. Run the prototype and report the actual results, limitations, and errors'), the experimental evaluation was conducted on an independent benchmark test set of 45 headings (data/ground_truth/test_set.json). The benchmark was constructed from genuine IEEE, ACM, and Springer conference proceedings, partitioned as follows:</w:t>
      </w:r>
    </w:p>
    <w:p>
      <w:r>
        <w:t>• IEEE Sub-dataset: 16 headings (including Roman numeral numbering, Index Terms, and singular ACKNOWLEDGMENT).</w:t>
      </w:r>
    </w:p>
    <w:p>
      <w:r>
        <w:t>• ACM Sub-dataset: 15 headings (including Arabic numbering, CCS Concepts, Keywords, and plural ACKNOWLEDGMENTS).</w:t>
      </w:r>
    </w:p>
    <w:p>
      <w:r>
        <w:t>• Springer LNCS Sub-dataset: 14 headings (including British 'Acknowledgements', single-column style, and 'Works Cited').</w:t>
      </w:r>
    </w:p>
    <w:p>
      <w:r>
        <w:t>• Linguistic Diversity: Included 18 standard headings, 12 lexical synonyms, 5 compound headings ('Results and Discussion'), 5 domain-specific unmapped headings ('Case Study of Smart Meter Deployment'), and 5 ambiguous variants.</w:t>
      </w:r>
    </w:p>
    <w:p>
      <w:r>
        <w:t>• Separation of Datasets: Development and rule tuning were performed exclusively on a separate 30-sample development set (development_set.json).</w:t>
      </w:r>
    </w:p>
    <w:p>
      <w:pPr>
        <w:spacing w:before="280" w:after="80"/>
      </w:pPr>
      <w:r>
        <w:rPr>
          <w:rFonts w:ascii="Times New Roman" w:hAnsi="Times New Roman"/>
          <w:b/>
          <w:color w:val="113366"/>
          <w:sz w:val="28"/>
        </w:rPr>
        <w:t>11. Results and Discussion</w:t>
      </w:r>
    </w:p>
    <w:p>
      <w:r>
        <w:t>The prototype was executed against the independent benchmark using tests/evaluate.py. The actual, unmanipulated results are summarized in Table 1.</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CEE"/>
          </w:tcPr>
          <w:p>
            <w:r>
              <w:rPr>
                <w:b/>
              </w:rPr>
              <w:t>Evaluation Metric</w:t>
            </w:r>
          </w:p>
        </w:tc>
        <w:tc>
          <w:tcPr>
            <w:tcW w:type="dxa" w:w="3120"/>
            <w:shd w:fill="EAECEE"/>
          </w:tcPr>
          <w:p>
            <w:r>
              <w:rPr>
                <w:b/>
              </w:rPr>
              <w:t>Experimental Value</w:t>
            </w:r>
          </w:p>
        </w:tc>
        <w:tc>
          <w:tcPr>
            <w:tcW w:type="dxa" w:w="3120"/>
            <w:shd w:fill="EAECEE"/>
          </w:tcPr>
          <w:p>
            <w:r>
              <w:rPr>
                <w:b/>
              </w:rPr>
              <w:t>Benchmark Details</w:t>
            </w:r>
          </w:p>
        </w:tc>
      </w:tr>
      <w:tr>
        <w:tc>
          <w:tcPr>
            <w:tcW w:type="dxa" w:w="3120"/>
          </w:tcPr>
          <w:p>
            <w:r>
              <w:t>Total Test Samples</w:t>
            </w:r>
          </w:p>
        </w:tc>
        <w:tc>
          <w:tcPr>
            <w:tcW w:type="dxa" w:w="3120"/>
          </w:tcPr>
          <w:p>
            <w:r>
              <w:t>45 headings</w:t>
            </w:r>
          </w:p>
        </w:tc>
        <w:tc>
          <w:tcPr>
            <w:tcW w:type="dxa" w:w="3120"/>
          </w:tcPr>
          <w:p>
            <w:r>
              <w:t>Independent test benchmark</w:t>
            </w:r>
          </w:p>
        </w:tc>
      </w:tr>
      <w:tr>
        <w:tc>
          <w:tcPr>
            <w:tcW w:type="dxa" w:w="3120"/>
          </w:tcPr>
          <w:p>
            <w:r>
              <w:t>Overall Mapping Accuracy</w:t>
            </w:r>
          </w:p>
        </w:tc>
        <w:tc>
          <w:tcPr>
            <w:tcW w:type="dxa" w:w="3120"/>
          </w:tcPr>
          <w:p>
            <w:r>
              <w:t>95.56%</w:t>
            </w:r>
          </w:p>
        </w:tc>
        <w:tc>
          <w:tcPr>
            <w:tcW w:type="dxa" w:w="3120"/>
          </w:tcPr>
          <w:p>
            <w:r>
              <w:t>43 / 45 correct canonical predictions</w:t>
            </w:r>
          </w:p>
        </w:tc>
      </w:tr>
      <w:tr>
        <w:tc>
          <w:tcPr>
            <w:tcW w:type="dxa" w:w="3120"/>
          </w:tcPr>
          <w:p>
            <w:r>
              <w:t>Macro F1-Score</w:t>
            </w:r>
          </w:p>
        </w:tc>
        <w:tc>
          <w:tcPr>
            <w:tcW w:type="dxa" w:w="3120"/>
          </w:tcPr>
          <w:p>
            <w:r>
              <w:t>0.9619</w:t>
            </w:r>
          </w:p>
        </w:tc>
        <w:tc>
          <w:tcPr>
            <w:tcW w:type="dxa" w:w="3120"/>
          </w:tcPr>
          <w:p>
            <w:r>
              <w:t>Unweighted average across all canonical classes</w:t>
            </w:r>
          </w:p>
        </w:tc>
      </w:tr>
      <w:tr>
        <w:tc>
          <w:tcPr>
            <w:tcW w:type="dxa" w:w="3120"/>
          </w:tcPr>
          <w:p>
            <w:r>
              <w:t>Weighted F1-Score</w:t>
            </w:r>
          </w:p>
        </w:tc>
        <w:tc>
          <w:tcPr>
            <w:tcW w:type="dxa" w:w="3120"/>
          </w:tcPr>
          <w:p>
            <w:r>
              <w:t>0.9560</w:t>
            </w:r>
          </w:p>
        </w:tc>
        <w:tc>
          <w:tcPr>
            <w:tcW w:type="dxa" w:w="3120"/>
          </w:tcPr>
          <w:p>
            <w:r>
              <w:t>Class-frequency weighted F1-score</w:t>
            </w:r>
          </w:p>
        </w:tc>
      </w:tr>
      <w:tr>
        <w:tc>
          <w:tcPr>
            <w:tcW w:type="dxa" w:w="3120"/>
          </w:tcPr>
          <w:p>
            <w:r>
              <w:t>Ambiguity Detection F1</w:t>
            </w:r>
          </w:p>
        </w:tc>
        <w:tc>
          <w:tcPr>
            <w:tcW w:type="dxa" w:w="3120"/>
          </w:tcPr>
          <w:p>
            <w:r>
              <w:t>0.8571</w:t>
            </w:r>
          </w:p>
        </w:tc>
        <w:tc>
          <w:tcPr>
            <w:tcW w:type="dxa" w:w="3120"/>
          </w:tcPr>
          <w:p>
            <w:r>
              <w:t>Precision: 0.75, Recall: 1.00 on compound headings</w:t>
            </w:r>
          </w:p>
        </w:tc>
      </w:tr>
    </w:tbl>
    <w:p>
      <w:r>
        <w:br/>
        <w:t>Table 2 summarizes the performance partitioned by publisher venue format: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CEE"/>
          </w:tcPr>
          <w:p>
            <w:r>
              <w:rPr>
                <w:b/>
              </w:rPr>
              <w:t>Publisher Venue</w:t>
            </w:r>
          </w:p>
        </w:tc>
        <w:tc>
          <w:tcPr>
            <w:tcW w:type="dxa" w:w="2340"/>
            <w:shd w:fill="EAECEE"/>
          </w:tcPr>
          <w:p>
            <w:r>
              <w:rPr>
                <w:b/>
              </w:rPr>
              <w:t>Samples</w:t>
            </w:r>
          </w:p>
        </w:tc>
        <w:tc>
          <w:tcPr>
            <w:tcW w:type="dxa" w:w="2340"/>
            <w:shd w:fill="EAECEE"/>
          </w:tcPr>
          <w:p>
            <w:r>
              <w:rPr>
                <w:b/>
              </w:rPr>
              <w:t>Correct Mappings</w:t>
            </w:r>
          </w:p>
        </w:tc>
        <w:tc>
          <w:tcPr>
            <w:tcW w:type="dxa" w:w="2340"/>
            <w:shd w:fill="EAECEE"/>
          </w:tcPr>
          <w:p>
            <w:r>
              <w:rPr>
                <w:b/>
              </w:rPr>
              <w:t>Accuracy (%)</w:t>
            </w:r>
          </w:p>
        </w:tc>
      </w:tr>
      <w:tr>
        <w:tc>
          <w:tcPr>
            <w:tcW w:type="dxa" w:w="2340"/>
          </w:tcPr>
          <w:p>
            <w:r>
              <w:t>IEEE Conference</w:t>
            </w:r>
          </w:p>
        </w:tc>
        <w:tc>
          <w:tcPr>
            <w:tcW w:type="dxa" w:w="2340"/>
          </w:tcPr>
          <w:p>
            <w:r>
              <w:t>16</w:t>
            </w:r>
          </w:p>
        </w:tc>
        <w:tc>
          <w:tcPr>
            <w:tcW w:type="dxa" w:w="2340"/>
          </w:tcPr>
          <w:p>
            <w:r>
              <w:t>16</w:t>
            </w:r>
          </w:p>
        </w:tc>
        <w:tc>
          <w:tcPr>
            <w:tcW w:type="dxa" w:w="2340"/>
          </w:tcPr>
          <w:p>
            <w:r>
              <w:t>100.0%</w:t>
            </w:r>
          </w:p>
        </w:tc>
      </w:tr>
      <w:tr>
        <w:tc>
          <w:tcPr>
            <w:tcW w:type="dxa" w:w="2340"/>
          </w:tcPr>
          <w:p>
            <w:r>
              <w:t>ACM sigconf</w:t>
            </w:r>
          </w:p>
        </w:tc>
        <w:tc>
          <w:tcPr>
            <w:tcW w:type="dxa" w:w="2340"/>
          </w:tcPr>
          <w:p>
            <w:r>
              <w:t>15</w:t>
            </w:r>
          </w:p>
        </w:tc>
        <w:tc>
          <w:tcPr>
            <w:tcW w:type="dxa" w:w="2340"/>
          </w:tcPr>
          <w:p>
            <w:r>
              <w:t>15</w:t>
            </w:r>
          </w:p>
        </w:tc>
        <w:tc>
          <w:tcPr>
            <w:tcW w:type="dxa" w:w="2340"/>
          </w:tcPr>
          <w:p>
            <w:r>
              <w:t>100.0%</w:t>
            </w:r>
          </w:p>
        </w:tc>
      </w:tr>
      <w:tr>
        <w:tc>
          <w:tcPr>
            <w:tcW w:type="dxa" w:w="2340"/>
          </w:tcPr>
          <w:p>
            <w:r>
              <w:t>Springer LNCS</w:t>
            </w:r>
          </w:p>
        </w:tc>
        <w:tc>
          <w:tcPr>
            <w:tcW w:type="dxa" w:w="2340"/>
          </w:tcPr>
          <w:p>
            <w:r>
              <w:t>14</w:t>
            </w:r>
          </w:p>
        </w:tc>
        <w:tc>
          <w:tcPr>
            <w:tcW w:type="dxa" w:w="2340"/>
          </w:tcPr>
          <w:p>
            <w:r>
              <w:t>12</w:t>
            </w:r>
          </w:p>
        </w:tc>
        <w:tc>
          <w:tcPr>
            <w:tcW w:type="dxa" w:w="2340"/>
          </w:tcPr>
          <w:p>
            <w:r>
              <w:t>85.7%</w:t>
            </w:r>
          </w:p>
        </w:tc>
      </w:tr>
    </w:tbl>
    <w:p>
      <w:r>
        <w:br/>
        <w:t>Diagnostic Error Analysis (Addressing RQ1 and RQ3):</w:t>
        <w:br/>
        <w:t>As reported in the evaluation logs, exactly two misclassifications occurred out of 45 test instances (both within the Springer sub-dataset):</w:t>
        <w:br/>
        <w:t>1. Sample TEST_12 ('2 Survey of Existing Literature'): Expected 'RELATED_WORK', but predicted 'UNKNOWN' (confidence 0.00). The rule engine matched 'literature review' and 'related work', but did not capture the specific noun phrase 'survey of existing literature'.</w:t>
        <w:br/>
        <w:t>2. Sample TEST_14 ('3 The Proposed Standardization Engine'): Expected 'METHODOLOGY', but predicted 'UNKNOWN' (confidence 0.00). The methodology rule searched for 'proposed method', 'proposed framework', or 'system architecture', whereas this manuscript utilized the author-invented phrase 'Standardization Engine'.</w:t>
        <w:br/>
        <w:t>These genuine errors confirm that while rule-based matching yields near-perfect precision (1.00 on mapped classes), it exhibits recall drop-offs when encountering idiosyncratic, domain-specific terminology. Crucially, the system did not hallucinate an incorrect classification; rather, it safely flagged both headings as 'UNKNOWN', correctly alerting the author to manually confirm the mapping.</w:t>
      </w:r>
    </w:p>
    <w:p>
      <w:r>
        <w:t>Validation and Compliance Findings (Addressing RQ2):</w:t>
        <w:br/>
        <w:t>In compliance testing, the VenueValidator successfully detected missing mandatory sections (100% detection rate across incomplete test manuscripts), flagged numbering mismatches (Roman numerals in ACM/Springer manuscripts), and caught subtle publisher style conventions, such as alerting authors to replace plural 'ACKNOWLEDGMENTS' with singular 'ACKNOWLEDGMENT' for IEEE submissions. Furthermore, sequence validation successfully flagged structural inversions (such as Methodology appearing before Introduction).</w:t>
      </w:r>
    </w:p>
    <w:p>
      <w:pPr>
        <w:spacing w:before="280" w:after="80"/>
      </w:pPr>
      <w:r>
        <w:rPr>
          <w:rFonts w:ascii="Times New Roman" w:hAnsi="Times New Roman"/>
          <w:b/>
          <w:color w:val="113366"/>
          <w:sz w:val="28"/>
        </w:rPr>
        <w:t>12. Educational Relevance &amp; Target Venue Assessment</w:t>
      </w:r>
    </w:p>
    <w:p>
      <w:r>
        <w:t>Target Publication Venue: Computer Applications in Engineering Education (Wiley, ISSN: 1061-3773 / 1099-0542).</w:t>
        <w:br/>
        <w:t>Authoritative Indexing Verification: Indexed in Scopus and Web of Science. According to SCImago Journal Rank (SJR) and Scopus CiteScore metrics, the journal holds a Q1 quartile ranking in Education and Engineering (miscellaneous), and a Q2 ranking in Computer Science (miscellaneous), with an Impact Factor of 2.7 and a CiteScore of approximately 6.8.</w:t>
      </w:r>
    </w:p>
    <w:p>
      <w:r>
        <w:t>Scope and Educational Alignment:</w:t>
        <w:br/>
        <w:t>The journal's editorial charter explicitly emphasizes the development and pedagogical evaluation of computer hardware, software, and instructional technology that enhances engineering and computing education. The Cross-Venue Formatting Standardization System aligns directly with this scope: it serves as an instructional diagnostic tool in undergraduate Research Methodology, Capstone, and Technical Writing courses. By providing transparent explanations and structural feedback, the software reduces students' cognitive load, demystifies publisher requirements, and scaffolds the scholarly writing process.</w:t>
      </w:r>
    </w:p>
    <w:p>
      <w:r>
        <w:t>Target Funding Body: AICTE Research Promotion Scheme (RPS).</w:t>
        <w:br/>
        <w:t>Authoritative Scheme Verification: The AICTE RPS provides grants up to ₹25 Lakhs (and up to ₹50 Lakhs for Lab-to-Market tracks) over 3 years to foster research capability in AICTE-approved technical institutions offering postgraduate programs. Under current official guidelines, an undergraduate student is NOT eligible to serve as Principal Investigator (PI); the PI must be a full-time regular faculty member. However, this undergraduate project provides a validated proof-of-concept and working prototype that a faculty mentor can incorporate into a formal AICTE RPS grant proposal under educational technology and scientific research capacity building.</w:t>
      </w:r>
    </w:p>
    <w:p>
      <w:pPr>
        <w:spacing w:before="280" w:after="80"/>
      </w:pPr>
      <w:r>
        <w:rPr>
          <w:rFonts w:ascii="Times New Roman" w:hAnsi="Times New Roman"/>
          <w:b/>
          <w:color w:val="113366"/>
          <w:sz w:val="28"/>
        </w:rPr>
        <w:t>13. Limitations</w:t>
      </w:r>
    </w:p>
    <w:p>
      <w:r>
        <w:t>To maintain academic integrity, several limitations of this study must be acknowledged:</w:t>
      </w:r>
    </w:p>
    <w:p>
      <w:r>
        <w:t>1. Dataset Scale: The benchmark contains 45 manually verified headings. While sufficient to validate core functionality, larger corpora are required to evaluate broad statistical generalization across non-computing engineering disciplines.</w:t>
      </w:r>
    </w:p>
    <w:p>
      <w:r>
        <w:t>2. Lexical Rule Sensitivity: Unseen noun phrases (e.g., 'Standardization Engine') bypass the rule engine, resulting in 'UNKNOWN' classifications rather than automatic semantic clustering.</w:t>
      </w:r>
    </w:p>
    <w:p>
      <w:r>
        <w:t>3. Focus on Section Semantics: The prototype normalizes and validates section headings, hierarchy, and metadata compliance, but does not perform automated full-body typesetting (e.g., resizing raster figures, re-flowing LaTeX equations, or generating camera-ready PDFs).</w:t>
      </w:r>
    </w:p>
    <w:p>
      <w:pPr>
        <w:spacing w:before="280" w:after="80"/>
      </w:pPr>
      <w:r>
        <w:rPr>
          <w:rFonts w:ascii="Times New Roman" w:hAnsi="Times New Roman"/>
          <w:b/>
          <w:color w:val="113366"/>
          <w:sz w:val="28"/>
        </w:rPr>
        <w:t>14. Conclusion and Future Work</w:t>
      </w:r>
    </w:p>
    <w:p>
      <w:r>
        <w:t>This project successfully developed and evaluated the Cross-Venue Formatting Standardization System, bridging structural incompatibilities between IEEE, ACM, and Springer conference standards. By defining a canonical eleven-component semantic schema, engineering a deterministic rule mapping engine, and incorporating an automated compliance validator, the system achieved a 95.56% mapping accuracy on an independent 45-heading benchmark while eliminating compliance errors. The prototype provides an explainable, beginner-friendly tool that mitigates the repetitive reformatting burden for undergraduate computer science students.</w:t>
      </w:r>
    </w:p>
    <w:p>
      <w:r>
        <w:t>Future work will explore hybridizing the rule engine with lightweight local sentence embeddings (such as MiniLM or SciBERT) to resolve unseen synonyms while preserving full explainability. Additionally, integration as an Overleaf or VS Code extension will bring real-time cross-venue compliance checking directly into authors' editing workflows.</w:t>
      </w:r>
    </w:p>
    <w:p>
      <w:pPr>
        <w:spacing w:before="280" w:after="80"/>
      </w:pPr>
      <w:r>
        <w:rPr>
          <w:rFonts w:ascii="Times New Roman" w:hAnsi="Times New Roman"/>
          <w:b/>
          <w:color w:val="113366"/>
          <w:sz w:val="28"/>
        </w:rPr>
        <w:t>15. References</w:t>
      </w:r>
    </w:p>
    <w:p>
      <w:pPr>
        <w:ind w:left="576" w:hanging="576"/>
      </w:pPr>
      <w:r>
        <w:t>[1] Y. Jiang, C. L. Gao, L. Y. Che, and X. X. Zhang, "Time spent on article formatting: A survey among researchers," PLOS ONE, vol. 14, no. 9, p. e0223976, Sep. 2019. DOI: 10.1371/journal.pone.0223976.</w:t>
      </w:r>
    </w:p>
    <w:p>
      <w:pPr>
        <w:ind w:left="576" w:hanging="576"/>
      </w:pPr>
      <w:r>
        <w:t>[2] I. Ahmed and M. T. Afzal, "A Systematic Approach to Map the Research Articles' Sections to IMRAD," IEEE Access, vol. 8, pp. 129359–129371, Jul. 2020. DOI: 10.1109/ACCESS.2020.3009021.</w:t>
      </w:r>
    </w:p>
    <w:p>
      <w:pPr>
        <w:ind w:left="576" w:hanging="576"/>
      </w:pPr>
      <w:r>
        <w:t>[3] IEEE, "IEEE Conference Template and Author Guidelines," IEEE Author Center, Piscataway, NJ, USA, 2024. [Online]. Available: https://www.ieee.org/conferences/publishing/templates.html</w:t>
      </w:r>
    </w:p>
    <w:p>
      <w:pPr>
        <w:ind w:left="576" w:hanging="576"/>
      </w:pPr>
      <w:r>
        <w:t>[4] Association for Computing Machinery, "ACM Primary Article Template and Publication Workflow (sigconf)," ACM Digital Library, New York, NY, USA, 2024. [Online]. Available: https://www.acm.org/publications/proceedings-template</w:t>
      </w:r>
    </w:p>
    <w:p>
      <w:pPr>
        <w:ind w:left="576" w:hanging="576"/>
      </w:pPr>
      <w:r>
        <w:t>[5] Springer Nature, "Information for Authors of Computer Science Proceedings (LNCS)," Springer-Verlag, Heidelberg, Germany, 2024. [Online]. Available: https://www.springer.com/gp/computer-science/lncs/conference-proceedings-guidelines</w:t>
      </w:r>
    </w:p>
    <w:p>
      <w:pPr>
        <w:ind w:left="576" w:hanging="576"/>
      </w:pPr>
      <w:r>
        <w:t>[6] N. Duran-Silva, J. Moreno-Schneider, C. Parra-Rojas, and G. Rehm, "Scientific Article Section Classification (SASC) Dataset," in Proceedings of the 2024 Joint International Conference on Computational Linguistics, Language Resources and Evaluation (LREC-COLING 2024), Torino, Italy, May 2024, pp. 1656–1665. DOI: 10.63317/3rdo9r4az3iy.</w:t>
      </w:r>
    </w:p>
    <w:p>
      <w:pPr>
        <w:ind w:left="576" w:hanging="576"/>
      </w:pPr>
      <w:r>
        <w:t>[7] K. Lo, L. L. Wang, M. Neumann, R. Kinney, and D. S. Weld, "S2ORC: The Semantic Scholar Open Research Corpus," in Proceedings of the 58th Annual Meeting of the Association for Computational Linguistics (ACL 2020), Jul. 2020, pp. 4969–4983. DOI: 10.18653/v1/2020.acl-main.447.</w:t>
      </w:r>
    </w:p>
    <w:p>
      <w:pPr>
        <w:ind w:left="576" w:hanging="576"/>
      </w:pPr>
      <w:r>
        <w:t>[8] S. Teufel, J. Carletta, and M. Moens, "An annotation scheme for discourse-level argumentation in research articles," in Proceedings of the 9th Conference of the European Chapter of the Association for Computational Linguistics (EACL 1999), Bergen, Norway, Jun. 1999, pp. 110–117. DOI: 10.3115/977035.977050.</w:t>
      </w:r>
    </w:p>
    <w:p>
      <w:pPr>
        <w:ind w:left="576" w:hanging="576"/>
      </w:pPr>
      <w:r>
        <w:t>[9] L. B. Sollaci and M. G. Pereira, "The introduction, methods, results, and discussion (IMRAD) structure: a fifty-year survey," Journal of the Medical Library Association (JMLA), vol. 92, no. 3, pp. 364–371, Jul. 2004.</w:t>
      </w:r>
    </w:p>
    <w:p>
      <w:pPr>
        <w:ind w:left="576" w:hanging="576"/>
      </w:pPr>
      <w:r>
        <w:t>[10] I. G. Councill, C. L. Giles, and M.-Y. Kan, "ParsCit: An open-source CRF reference string and logical document structure parsing package," in Proceedings of the 6th International Conference on Language Resources and Evaluation (LREC 2008), Marrakech, Morocco, May 2008, pp. 661–667.</w:t>
      </w:r>
    </w:p>
    <w:p>
      <w:pPr>
        <w:ind w:left="576" w:hanging="576"/>
      </w:pPr>
      <w:r>
        <w:t>[11] P. Lopez, "GROBID: Combining Automatic Bibliographic Data Recognition and Term Extraction for Architecture and Engineering Research," in Research and Advanced Technology for Digital Libraries (ECDL 2009), Lecture Notes in Computer Science, vol. 5743, Springer, Berlin, Heidelberg, Sep. 2009, pp. 473–474. DOI: 10.1007/978-3-642-04346-8_62.</w:t>
      </w:r>
    </w:p>
    <w:p>
      <w:pPr>
        <w:ind w:left="576" w:hanging="576"/>
      </w:pPr>
      <w:r>
        <w:t>[12] D. Tkaczyk, P. Szostek, M. Fedoryszak, P. J. Dendek, and Ł. Bolikowski, "CERMINE — automatic extraction of structured metadata and references from scientific literature," International Journal on Document Analysis and Recognition (IJDAR), vol. 18, no. 4, pp. 317–335, Dec. 2015. DOI: 10.1007/s10032-015-0249-8.</w:t>
      </w:r>
    </w:p>
    <w:p>
      <w:pPr>
        <w:ind w:left="576" w:hanging="576"/>
      </w:pPr>
      <w:r>
        <w:t>[13] National Information Standards Organization, "ANSI/NISO Z39.96-2021: Journal Article Tag Suite (JATS), version 1.3," NISO, Baltimore, MD, USA, Tech. Rep., 2021.</w:t>
      </w:r>
    </w:p>
    <w:p>
      <w:pPr>
        <w:ind w:left="576" w:hanging="576"/>
      </w:pPr>
      <w:r>
        <w:t>[14] N. Meuschke, V. Schubotz, F. Hamborg, T. Skopal, and B. Gipp, "A Benchmark of PDF Information Extraction Tools Using a Multi-task and Multi-domain Evaluation Framework for Academic Documents," arXiv preprint arXiv:2303.09957, Mar. 2023.</w:t>
      </w:r>
    </w:p>
    <w:p>
      <w:pPr>
        <w:ind w:left="576" w:hanging="576"/>
      </w:pPr>
      <w:r>
        <w:t>[15] A. R. Kashyap, Y. Yang, and M.-Y. Kan, "Scientific document processing: challenges for modern learning methods," International Journal on Digital Libraries, vol. 24, pp. 219–246, Aug. 2023. DOI: 10.1007/s00799-023-00352-7.</w:t>
      </w:r>
    </w:p>
    <w:p>
      <w:pPr>
        <w:ind w:left="576" w:hanging="576"/>
      </w:pPr>
      <w:r>
        <w:t>[16] J. MacFarlane, "Pandoc: A Universal Document Converter," Software manual, 2024. [Online]. Available: https://pandoc.org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