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Deep Semantic Section Standardization in Computing</w:t>
      </w:r>
    </w:p>
    <w:p>
      <w:r>
        <w:t>ABSTRACT</w:t>
        <w:br/>
        <w:t>This paper proposes an automated framework.</w:t>
      </w:r>
    </w:p>
    <w:p>
      <w:pPr>
        <w:spacing w:before="120" w:after="120"/>
      </w:pPr>
      <w:r>
        <w:rPr>
          <w:i/>
          <w:color w:val="772222"/>
          <w:sz w:val="17"/>
        </w:rPr>
        <w:t>[ACM CCS CONCEPTS: Mandatory for ACM publication. Please assign 2012 ACM Computing Classification System concepts via the official indexing tool at https://dl.acm.org/ccs/ccs.cfm and replace this notice prior to camera-ready upload.]</w:t>
      </w:r>
    </w:p>
    <w:p>
      <w:r/>
      <w:r>
        <w:rPr>
          <w:b/>
          <w:i w:val="0"/>
        </w:rPr>
        <w:t>Keywords:</w:t>
      </w:r>
      <w:r>
        <w:rPr>
          <w:b w:val="0"/>
          <w:i w:val="0"/>
        </w:rPr>
        <w:t xml:space="preserve"> Semantic mapping, document engineering, conference templates</w:t>
      </w:r>
    </w:p>
    <w:p>
      <w:pPr>
        <w:pStyle w:val="Heading1"/>
        <w:jc w:val="left"/>
      </w:pPr>
      <w:r>
        <w:rPr>
          <w:b/>
        </w:rPr>
        <w:t>1 INTRODUCTION</w:t>
      </w:r>
    </w:p>
    <w:p>
      <w:r>
        <w:t>Conference publication formats in computer science impose strict constraints.</w:t>
      </w:r>
    </w:p>
    <w:p>
      <w:pPr>
        <w:pStyle w:val="Heading1"/>
        <w:jc w:val="left"/>
      </w:pPr>
      <w:r>
        <w:rPr>
          <w:b/>
        </w:rPr>
        <w:t>2 RELATED WORK</w:t>
      </w:r>
    </w:p>
    <w:p>
      <w:r>
        <w:t>Previous work has utilized rule heuristics and CRF extractors.</w:t>
      </w:r>
    </w:p>
    <w:p>
      <w:pPr>
        <w:pStyle w:val="Heading1"/>
        <w:jc w:val="left"/>
      </w:pPr>
      <w:r>
        <w:rPr>
          <w:b/>
        </w:rPr>
        <w:t>3 PROPOSED METHODOLOGY</w:t>
      </w:r>
    </w:p>
    <w:p>
      <w:r>
        <w:t>We describe the four-tier architectural pipeline.</w:t>
      </w:r>
    </w:p>
    <w:p>
      <w:pPr>
        <w:pStyle w:val="Heading1"/>
        <w:jc w:val="left"/>
      </w:pPr>
      <w:r>
        <w:rPr>
          <w:b/>
        </w:rPr>
        <w:t>4 EXPERIMENTAL EVALUATION</w:t>
      </w:r>
    </w:p>
    <w:p>
      <w:r>
        <w:t>Empirical results across benchmark datasets are presented.</w:t>
      </w:r>
    </w:p>
    <w:p>
      <w:pPr>
        <w:pStyle w:val="Heading1"/>
        <w:jc w:val="left"/>
      </w:pPr>
      <w:r>
        <w:rPr>
          <w:b/>
        </w:rPr>
        <w:t>5 DISCUSSION</w:t>
      </w:r>
    </w:p>
    <w:p>
      <w:r>
        <w:t>We analyze the implications and limitations of our approach.</w:t>
      </w:r>
    </w:p>
    <w:p>
      <w:pPr>
        <w:pStyle w:val="Heading1"/>
        <w:jc w:val="left"/>
      </w:pPr>
      <w:r>
        <w:rPr>
          <w:b/>
        </w:rPr>
        <w:t>6 CONCLUSION</w:t>
      </w:r>
    </w:p>
    <w:p>
      <w:r>
        <w:t>We summarize the primary contributions and future outlook.</w:t>
      </w:r>
    </w:p>
    <w:p>
      <w:pPr>
        <w:pStyle w:val="Heading1"/>
        <w:jc w:val="left"/>
      </w:pPr>
      <w:r>
        <w:rPr>
          <w:b/>
        </w:rPr>
        <w:t>ACKNOWLEDGMENTS</w:t>
      </w:r>
    </w:p>
    <w:p>
      <w:r>
        <w:t>We thank the department for computing facilities.</w:t>
      </w:r>
    </w:p>
    <w:p>
      <w:pPr>
        <w:pStyle w:val="Heading1"/>
      </w:pPr>
      <w:r>
        <w:t>REFERENCES</w:t>
      </w:r>
    </w:p>
    <w:p>
      <w:r>
        <w:t>[1] Y. Jiang et al., PLOS ONE 2019.</w:t>
      </w:r>
    </w:p>
    <w:sectPr w:rsidR="00FC693F" w:rsidRPr="0006063C" w:rsidSect="00034616">
      <w:pgSz w:w="12240" w:h="15840"/>
      <w:pgMar w:top="1080" w:right="1080" w:bottom="1440" w:left="1080" w:header="720" w:footer="720" w:gutter="0"/>
      <w:cols w:space="475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