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sz w:val="44"/>
        </w:rPr>
        <w:t>Adaptive Trust-Aware Federated Learning for Privacy-Preserving Smart Hospitals: An Implementation-Oriented Collaborative Healthcare Architecture</w:t>
      </w:r>
    </w:p>
    <w:tbl>
      <w:tblPr>
        <w:tblW w:type="auto" w:w="0"/>
        <w:jc w:val="center"/>
        <w:tblLayout w:type="fixed"/>
        <w:tblLook w:firstColumn="1" w:firstRow="1" w:lastColumn="0" w:lastRow="0" w:noHBand="0" w:noVBand="1" w:val="04A0"/>
      </w:tblPr>
      <w:tblGrid>
        <w:gridCol w:w="2610"/>
        <w:gridCol w:w="2610"/>
        <w:gridCol w:w="2610"/>
        <w:gridCol w:w="2610"/>
      </w:tblGrid>
      <w:tr>
        <w:tc>
          <w:tcPr>
            <w:tcW w:type="dxa" w:w="2592"/>
            <w:tcBorders>
              <w:top w:val="none"/>
              <w:left w:val="none"/>
              <w:bottom w:val="none"/>
              <w:right w:val="none"/>
            </w:tcBorders>
          </w:tcPr>
          <w:p>
            <w:pPr>
              <w:spacing w:before="0" w:after="40" w:line="240" w:lineRule="auto"/>
              <w:jc w:val="center"/>
            </w:pPr>
            <w:r>
              <w:rPr>
                <w:rFonts w:ascii="Times New Roman" w:hAnsi="Times New Roman"/>
                <w:b/>
                <w:sz w:val="21"/>
              </w:rPr>
              <w:t>Parthasarathy S</w:t>
              <w:br/>
            </w:r>
            <w:r>
              <w:rPr>
                <w:rFonts w:ascii="Times New Roman" w:hAnsi="Times New Roman"/>
                <w:i/>
                <w:sz w:val="17"/>
              </w:rPr>
              <w:t>Dept. of Computer Science</w:t>
              <w:br/>
              <w:t>and Engineering</w:t>
              <w:br/>
            </w:r>
            <w:r>
              <w:rPr>
                <w:rFonts w:ascii="Times New Roman" w:hAnsi="Times New Roman"/>
                <w:color w:val="003366"/>
                <w:sz w:val="16"/>
              </w:rPr>
              <w:t>parthasarathys2006@gmail.com</w:t>
            </w:r>
          </w:p>
        </w:tc>
        <w:tc>
          <w:tcPr>
            <w:tcW w:type="dxa" w:w="2592"/>
            <w:tcBorders>
              <w:top w:val="none"/>
              <w:left w:val="none"/>
              <w:bottom w:val="none"/>
              <w:right w:val="none"/>
            </w:tcBorders>
          </w:tcPr>
          <w:p>
            <w:pPr>
              <w:spacing w:before="0" w:after="40" w:line="240" w:lineRule="auto"/>
              <w:jc w:val="center"/>
            </w:pPr>
            <w:r>
              <w:rPr>
                <w:rFonts w:ascii="Times New Roman" w:hAnsi="Times New Roman"/>
                <w:b/>
                <w:sz w:val="21"/>
              </w:rPr>
              <w:t>Mohammed Anas</w:t>
              <w:br/>
            </w:r>
            <w:r>
              <w:rPr>
                <w:rFonts w:ascii="Times New Roman" w:hAnsi="Times New Roman"/>
                <w:i/>
                <w:sz w:val="17"/>
              </w:rPr>
              <w:t>Dept. of Computer Science</w:t>
              <w:br/>
              <w:t>and Engineering</w:t>
              <w:br/>
            </w:r>
            <w:r>
              <w:rPr>
                <w:rFonts w:ascii="Times New Roman" w:hAnsi="Times New Roman"/>
                <w:color w:val="003366"/>
                <w:sz w:val="16"/>
              </w:rPr>
              <w:t>mohammedanas@gmail.com</w:t>
            </w:r>
          </w:p>
        </w:tc>
        <w:tc>
          <w:tcPr>
            <w:tcW w:type="dxa" w:w="2592"/>
            <w:tcBorders>
              <w:top w:val="none"/>
              <w:left w:val="none"/>
              <w:bottom w:val="none"/>
              <w:right w:val="none"/>
            </w:tcBorders>
          </w:tcPr>
          <w:p>
            <w:pPr>
              <w:spacing w:before="0" w:after="40" w:line="240" w:lineRule="auto"/>
              <w:jc w:val="center"/>
            </w:pPr>
            <w:r>
              <w:rPr>
                <w:rFonts w:ascii="Times New Roman" w:hAnsi="Times New Roman"/>
                <w:b/>
                <w:sz w:val="21"/>
              </w:rPr>
              <w:t>Mohammad Umar</w:t>
              <w:br/>
            </w:r>
            <w:r>
              <w:rPr>
                <w:rFonts w:ascii="Times New Roman" w:hAnsi="Times New Roman"/>
                <w:i/>
                <w:sz w:val="17"/>
              </w:rPr>
              <w:t>Dept. of Computer Science</w:t>
              <w:br/>
              <w:t>and Engineering</w:t>
              <w:br/>
            </w:r>
            <w:r>
              <w:rPr>
                <w:rFonts w:ascii="Times New Roman" w:hAnsi="Times New Roman"/>
                <w:color w:val="003366"/>
                <w:sz w:val="16"/>
              </w:rPr>
              <w:t>mohammadumar@gmail.com</w:t>
            </w:r>
          </w:p>
        </w:tc>
        <w:tc>
          <w:tcPr>
            <w:tcW w:type="dxa" w:w="2592"/>
            <w:tcBorders>
              <w:top w:val="none"/>
              <w:left w:val="none"/>
              <w:bottom w:val="none"/>
              <w:right w:val="none"/>
            </w:tcBorders>
          </w:tcPr>
          <w:p>
            <w:pPr>
              <w:spacing w:before="0" w:after="40" w:line="240" w:lineRule="auto"/>
              <w:jc w:val="center"/>
            </w:pPr>
            <w:r>
              <w:rPr>
                <w:rFonts w:ascii="Times New Roman" w:hAnsi="Times New Roman"/>
                <w:b/>
                <w:sz w:val="21"/>
              </w:rPr>
              <w:t>Naveen Balaji</w:t>
              <w:br/>
            </w:r>
            <w:r>
              <w:rPr>
                <w:rFonts w:ascii="Times New Roman" w:hAnsi="Times New Roman"/>
                <w:i/>
                <w:sz w:val="17"/>
              </w:rPr>
              <w:t>Dept. of Computer Science</w:t>
              <w:br/>
              <w:t>and Engineering</w:t>
              <w:br/>
            </w:r>
            <w:r>
              <w:rPr>
                <w:rFonts w:ascii="Times New Roman" w:hAnsi="Times New Roman"/>
                <w:color w:val="003366"/>
                <w:sz w:val="16"/>
              </w:rPr>
              <w:t>naveenbalaji@gmail.com</w:t>
            </w:r>
          </w:p>
        </w:tc>
      </w:tr>
    </w:tbl>
    <w:p>
      <w:pPr>
        <w:spacing w:before="120" w:after="120"/>
      </w:pPr>
    </w:p>
    <w:p>
      <w:pPr>
        <w:sectPr>
          <w:pgSz w:w="12240" w:h="15840"/>
          <w:pgMar w:top="1080" w:right="900" w:bottom="1440" w:left="900" w:header="720" w:footer="720" w:gutter="0"/>
          <w:cols w:space="720"/>
          <w:docGrid w:linePitch="360"/>
        </w:sectPr>
      </w:pPr>
    </w:p>
    <w:p>
      <w:pPr>
        <w:spacing w:before="80" w:after="80" w:line="252" w:lineRule="auto"/>
        <w:jc w:val="both"/>
      </w:pPr>
      <w:r>
        <w:rPr>
          <w:rFonts w:ascii="Times New Roman" w:hAnsi="Times New Roman"/>
          <w:b/>
          <w:i/>
          <w:sz w:val="18"/>
        </w:rPr>
        <w:t>Abstract—</w:t>
      </w:r>
      <w:r>
        <w:rPr>
          <w:rFonts w:ascii="Times New Roman" w:hAnsi="Times New Roman"/>
          <w:b/>
          <w:sz w:val="18"/>
        </w:rPr>
        <w:t>Multi-institutional healthcare consortia require collaborative artificial intelligence (AI) to train predictive diagnostic models across distributed electronic health records (EHR). However, strict statutory privacy mandates (e.g., HIPAA, GDPR) legally prohibit the centralized collection, pooling, or exposure of raw patient health records. Furthermore, conventional Federated Learning (FL) frameworks, such as standard Federated Averaging (FedAvg), operate under the naive assumption that all participating hospital nodes are trustworthy, computationally homogenous, and possess Independent and Identically Distributed (IID) patient samples. In practice, smart hospital deployments suffer from severe non-IID epidemiological skew, edge network latency, intermittent client dropouts, and vulnerability to Byzantine or corrupted gradient updates. This paper presents Adaptive Trust-Aware Federated Learning (ATA-FL) as an implementation-oriented boundary architecture designed to enforce privacy while dynamically mitigating unreliable client contributions. The framework integrates: (1) decentralized local deep learning using PyTorch clinical severity multi-layer perceptrons behind institutional firewalls; (2) Secure Multi-Party Computation (SMPC) via Shamir's (k, n) polynomial secret sharing and homomorphic Lagrange interpolation at x=0, guaranteeing zero plaintext weight exposure to coordinators or eavesdroppers; (3) a four-component telemetry engine evaluating update consistency, participation reliability, communication stability, and empirical validation loss reduction; (4) Exponential Moving Average (EMA) trust memory (lambda = 0.90) to filter transient network jitter; and (5) trust-adjusted aggregation weighting that preserves unique non-IID clinical insights while down-weighting rogue updates. We formulate a comprehensive evaluation protocol across six realistic clinical stress scenarios—including severe label shifts, 30% random node dropouts, communication bottlenecks, and Byzantine gradient noise—demonstrating rigorous convergence, sub-millisecond Lagrange reconstruction precision (&lt; 10^-4 residual), and strict preservation of patient confidentiality.</w:t>
      </w:r>
    </w:p>
    <w:p>
      <w:pPr>
        <w:spacing w:before="40" w:after="160" w:line="252" w:lineRule="auto"/>
        <w:jc w:val="both"/>
      </w:pPr>
      <w:r>
        <w:rPr>
          <w:rFonts w:ascii="Times New Roman" w:hAnsi="Times New Roman"/>
          <w:b/>
          <w:i/>
          <w:sz w:val="18"/>
        </w:rPr>
        <w:t>Index Terms—</w:t>
      </w:r>
      <w:r>
        <w:rPr>
          <w:rFonts w:ascii="Times New Roman" w:hAnsi="Times New Roman"/>
          <w:b/>
          <w:sz w:val="18"/>
        </w:rPr>
        <w:t>Federated learning, smart hospitals, privacy-preserving healthcare, adaptive trust management, secure multi-party computation, Shamir's secret sharing, non-IID clinical data, Lagrange interpolation.</w:t>
      </w:r>
    </w:p>
    <w:p>
      <w:pPr>
        <w:keepNext/>
        <w:spacing w:before="200" w:after="80"/>
        <w:jc w:val="center"/>
      </w:pPr>
      <w:r>
        <w:rPr>
          <w:rFonts w:ascii="Times New Roman" w:hAnsi="Times New Roman"/>
          <w:b/>
          <w:sz w:val="20"/>
        </w:rPr>
        <w:t>I. INTRODUCTION</w:t>
      </w:r>
    </w:p>
    <w:p>
      <w:pPr>
        <w:spacing w:before="0" w:after="80" w:line="252" w:lineRule="auto"/>
        <w:jc w:val="both"/>
      </w:pPr>
      <w:r>
        <w:rPr>
          <w:rFonts w:ascii="Times New Roman" w:hAnsi="Times New Roman"/>
          <w:sz w:val="19"/>
        </w:rPr>
        <w:t>The digital transformation of modern healthcare has accelerated the deployment of deep learning models across intensive care units, emergency departments, and regional clinical networks. High-capacity neural networks can predict patient severity, early septic deterioration, and mortality risks by synthesizing continuous physiological telemetry and laboratory measurements [4], [5]. However, the efficacy of clinical machine learning depends critically on access to diverse, large-scale patient cohorts. Rare pathological manifestations and demographic-specific disease progressions cannot be adequately captured by any single local medical institution [6].</w:t>
      </w:r>
    </w:p>
    <w:p>
      <w:pPr>
        <w:spacing w:before="0" w:after="80" w:line="252" w:lineRule="auto"/>
        <w:jc w:val="both"/>
      </w:pPr>
      <w:r>
        <w:rPr>
          <w:rFonts w:ascii="Times New Roman" w:hAnsi="Times New Roman"/>
          <w:sz w:val="19"/>
        </w:rPr>
        <w:t>Historically, multi-center collaboration required aggregating electronic health records (EHR) into centralized repositories. This practice has become virtually obsolete and legally impermissible due to stringent regulatory frameworks, including the Health Insurance Portability and Accountability Act (HIPAA) in the United States and the General Data Protection Regulation (GDPR) in the European Union [4], [6]. Centralizing sensitive clinical records introduces intolerable vulnerabilities to institutional data breaches, secondary re-identification, and patient privacy violations.</w:t>
      </w:r>
    </w:p>
    <w:p>
      <w:pPr>
        <w:spacing w:before="0" w:after="80" w:line="252" w:lineRule="auto"/>
        <w:jc w:val="both"/>
      </w:pPr>
      <w:r>
        <w:rPr>
          <w:rFonts w:ascii="Times New Roman" w:hAnsi="Times New Roman"/>
          <w:sz w:val="19"/>
        </w:rPr>
        <w:t>Federated Learning (FL) has emerged as the leading distributed training paradigm to address this dilemma [1]–[3]. Under canonical FL paradigms such as Federated Averaging (FedAvg) [1], participating institutions train models locally on their isolated private databases. Rather than transmitting raw patient records, hospitals broadcast only parameter updates (gradients or weights) to a central aggregation coordinator. The coordinator averages these updates to produce a refined global model, which is then redistributed across institutions.</w:t>
      </w:r>
    </w:p>
    <w:p>
      <w:pPr>
        <w:spacing w:before="0" w:after="80" w:line="252" w:lineRule="auto"/>
        <w:jc w:val="both"/>
      </w:pPr>
      <w:r>
        <w:rPr>
          <w:rFonts w:ascii="Times New Roman" w:hAnsi="Times New Roman"/>
          <w:sz w:val="19"/>
        </w:rPr>
        <w:t>Despite its promise, deploying vanilla FedAvg within clinical consortia reveals several critical failure modes:</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Non-IID Epidemiological Distribution: </w:t>
      </w:r>
      <w:r>
        <w:rPr>
          <w:rFonts w:ascii="Times New Roman" w:hAnsi="Times New Roman"/>
          <w:sz w:val="19"/>
        </w:rPr>
        <w:t>Clinical patient populations vary drastically across specialized facilities (e.g., pediatric wards, geriatric clinics, specialized trauma centers, oncology institutes). Standard aggregation schemes degrade sharply under non-IID data distributions, often drifting toward majority classes [13], [14].</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Network Heterogeneity and Client Dropout: </w:t>
      </w:r>
      <w:r>
        <w:rPr>
          <w:rFonts w:ascii="Times New Roman" w:hAnsi="Times New Roman"/>
          <w:sz w:val="19"/>
        </w:rPr>
        <w:t>Regional medical centers frequently operate over constrained or unstable wide-area networks (WAN). Packet drops, intermittent disconnects, and computational delays cause uncoordinated client dropouts that destabilize training rounds [11].</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Vulnerability to Gradient Corruption and Poisoning: </w:t>
      </w:r>
      <w:r>
        <w:rPr>
          <w:rFonts w:ascii="Times New Roman" w:hAnsi="Times New Roman"/>
          <w:sz w:val="19"/>
        </w:rPr>
        <w:t>Standard FedAvg treats all participating clients as equally reliable and honest. A miscalibrated sensor, software malfunction, or adversarial actor can transmit corrupted or poisoned parameter updates, distorting the global model and risking clinical decision-making [10], [12].</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Information Leakage via Gradient Inversion: </w:t>
      </w:r>
      <w:r>
        <w:rPr>
          <w:rFonts w:ascii="Times New Roman" w:hAnsi="Times New Roman"/>
          <w:sz w:val="19"/>
        </w:rPr>
        <w:t>Although raw patient data is not shared directly, theoretical and empirical studies demonstrate that unencrypted gradient vectors can be inverted to reconstruct private training samples and clinical records [8], [9].</w:t>
      </w:r>
    </w:p>
    <w:p>
      <w:pPr>
        <w:spacing w:before="0" w:after="80" w:line="252" w:lineRule="auto"/>
        <w:jc w:val="both"/>
      </w:pPr>
      <w:r>
        <w:rPr>
          <w:rFonts w:ascii="Times New Roman" w:hAnsi="Times New Roman"/>
          <w:sz w:val="19"/>
        </w:rPr>
        <w:t>To resolve these interconnected challenges, this paper presents Adaptive Trust-Aware Federated Learning (ATA-FL). ATA-FL introduces an implementation-oriented boundary architecture that unifies multi-component empirical trust tracking with cryptographic Secure Multi-Party Computation (SMPC). Rather than relying on rigid client exclusion—which discards valuable non-IID medical insights—ATA-FL computes dynamic, multi-dimensional trust coefficients across update consistency, participation rates, network latency, and validation performance. Concurrently, model parameters are protected using Shamir's (k, n) polynomial secret sharing [7], ensuring that the coordinator reconstructs only the combined aggregate weight vector without ever observing individual hospital updates in plaintext.</w:t>
      </w:r>
    </w:p>
    <w:p>
      <w:pPr>
        <w:spacing w:before="0" w:after="80" w:line="252" w:lineRule="auto"/>
        <w:jc w:val="both"/>
      </w:pPr>
      <w:r>
        <w:rPr>
          <w:rFonts w:ascii="Times New Roman" w:hAnsi="Times New Roman"/>
          <w:sz w:val="19"/>
        </w:rPr>
        <w:t>The primary contributions of this work are:</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Adaptive Four-Component Trust Telemetry: </w:t>
      </w:r>
      <w:r>
        <w:rPr>
          <w:rFonts w:ascii="Times New Roman" w:hAnsi="Times New Roman"/>
          <w:sz w:val="19"/>
        </w:rPr>
        <w:t>A multi-dimensional reliability metric combining gradient cosine similarity (U), historical participation reliability (P), communication latency and jitter (C), and empirical validation contribution (V).</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Temporal Trust Memory via Exponential Smoothing: </w:t>
      </w:r>
      <w:r>
        <w:rPr>
          <w:rFonts w:ascii="Times New Roman" w:hAnsi="Times New Roman"/>
          <w:sz w:val="19"/>
        </w:rPr>
        <w:t>An Exponential Moving Average (EMA) formulation with memory factor lambda = 0.90 that prevents temporary network anomalies from unfairly penalizing honest hospitals while systematically suppressing persistent Byzantine degradations.</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Homomorphic Shamir (k, n) Secure Aggregation: </w:t>
      </w:r>
      <w:r>
        <w:rPr>
          <w:rFonts w:ascii="Times New Roman" w:hAnsi="Times New Roman"/>
          <w:sz w:val="19"/>
        </w:rPr>
        <w:t>An implementation-oriented cryptographic protocol combining polynomial secret sharing and Lagrange interpolation at x=0, delivering mathematical verification precision (&lt; 10^-4 residual) and strict mathematical privacy.</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Reproducible Multi-Scenario Clinical Benchmark Protocol: </w:t>
      </w:r>
      <w:r>
        <w:rPr>
          <w:rFonts w:ascii="Times New Roman" w:hAnsi="Times New Roman"/>
          <w:sz w:val="19"/>
        </w:rPr>
        <w:t>A comprehensive evaluation methodology spanning six demanding operational scenarios (Clean IID, Mild Non-IID, Severe Non-IID, 30% Random Dropout, Network Failures, and Noisy Byzantine Updates) with matched baselines, ablation studies, and automated unit-test validation.</w:t>
      </w:r>
    </w:p>
    <w:p>
      <w:pPr>
        <w:keepNext/>
        <w:spacing w:before="200" w:after="80"/>
        <w:jc w:val="center"/>
      </w:pPr>
      <w:r>
        <w:rPr>
          <w:rFonts w:ascii="Times New Roman" w:hAnsi="Times New Roman"/>
          <w:b/>
          <w:sz w:val="20"/>
        </w:rPr>
        <w:t>II. RELATED WORK</w:t>
      </w:r>
    </w:p>
    <w:p>
      <w:pPr>
        <w:keepNext/>
        <w:spacing w:before="140" w:after="60"/>
        <w:jc w:val="left"/>
      </w:pPr>
      <w:r>
        <w:rPr>
          <w:rFonts w:ascii="Times New Roman" w:hAnsi="Times New Roman"/>
          <w:i/>
          <w:sz w:val="20"/>
        </w:rPr>
        <w:t>A. Federated Learning in Clinical and Healthcare Domains</w:t>
      </w:r>
    </w:p>
    <w:p>
      <w:pPr>
        <w:spacing w:before="0" w:after="80" w:line="252" w:lineRule="auto"/>
        <w:jc w:val="both"/>
      </w:pPr>
      <w:r>
        <w:rPr>
          <w:rFonts w:ascii="Times New Roman" w:hAnsi="Times New Roman"/>
          <w:sz w:val="19"/>
        </w:rPr>
        <w:t>Federated learning was introduced by McMahan et al. [1] to decouple model training from direct data collection. In healthcare, FL enables multi-institutional studies without centralizing clinical databases [2]–[5]. Rieke et al. [4] established the future roadmap of digital health with FL, outlining its potential in oncology, radiology, and intensive care. Sheller et al. [5] demonstrated multi-institutional collaborative training for brain tumor segmentation, showing that FL achieves performance comparable to models trained on pooled data while maintaining data privacy. However, clinical deployments continue to struggle with domain shifts and unverified client updates.</w:t>
      </w:r>
    </w:p>
    <w:p>
      <w:pPr>
        <w:keepNext/>
        <w:spacing w:before="140" w:after="60"/>
        <w:jc w:val="left"/>
      </w:pPr>
      <w:r>
        <w:rPr>
          <w:rFonts w:ascii="Times New Roman" w:hAnsi="Times New Roman"/>
          <w:i/>
          <w:sz w:val="20"/>
        </w:rPr>
        <w:t>B. Client Reliability, Reputation, and Trust Scoring in Distributed Systems</w:t>
      </w:r>
    </w:p>
    <w:p>
      <w:pPr>
        <w:spacing w:before="0" w:after="80" w:line="252" w:lineRule="auto"/>
        <w:jc w:val="both"/>
      </w:pPr>
      <w:r>
        <w:rPr>
          <w:rFonts w:ascii="Times New Roman" w:hAnsi="Times New Roman"/>
          <w:sz w:val="19"/>
        </w:rPr>
        <w:t>Trust management in distributed learning evaluates client reliability to protect the global model against anomalous or adversarial updates [10]–[12]. Kang et al. [10] introduced reputation-based client selection using multi-weight subjective logic and consortium blockchains. Khan et al. [11] investigated resource optimization and incentive mechanisms in heterogeneous edge networks. Blanchard et al. [12] proposed Byzantine-tolerant gradient descent (Krum), which selects updates minimizing Euclidean distances to peers. However, geometric filtering methods often mistake valid non-IID clinical variations for adversarial behavior, inadvertently discarding crucial rare-disease data.</w:t>
      </w:r>
    </w:p>
    <w:p>
      <w:pPr>
        <w:keepNext/>
        <w:spacing w:before="140" w:after="60"/>
        <w:jc w:val="left"/>
      </w:pPr>
      <w:r>
        <w:rPr>
          <w:rFonts w:ascii="Times New Roman" w:hAnsi="Times New Roman"/>
          <w:i/>
          <w:sz w:val="20"/>
        </w:rPr>
        <w:t>C. Secure Multi-Party Computation and Secret Sharing in Aggregation</w:t>
      </w:r>
    </w:p>
    <w:p>
      <w:pPr>
        <w:spacing w:before="0" w:after="80" w:line="252" w:lineRule="auto"/>
        <w:jc w:val="both"/>
      </w:pPr>
      <w:r>
        <w:rPr>
          <w:rFonts w:ascii="Times New Roman" w:hAnsi="Times New Roman"/>
          <w:sz w:val="19"/>
        </w:rPr>
        <w:t>Cryptographic techniques protect parameter privacy against inference attacks. Shamir [7] established (k, n) threshold secret sharing based on polynomial interpolation. Bonawitz et al. [8] developed practical secure aggregation for federated learning, utilizing double-masking and secret sharing to tolerate client dropouts. Mohassel and Zhang [9] introduced SecureML, formalizing secure multi-party computation protocols for linear regression, logistic regression, and neural networks. ATA-FL builds upon these foundations by coupling Shamir's (k, n) secret sharing directly with trust-weighted aggregation coefficients.</w:t>
      </w:r>
    </w:p>
    <w:p>
      <w:pPr>
        <w:keepNext/>
        <w:spacing w:before="140" w:after="60"/>
        <w:jc w:val="left"/>
      </w:pPr>
      <w:r>
        <w:rPr>
          <w:rFonts w:ascii="Times New Roman" w:hAnsi="Times New Roman"/>
          <w:i/>
          <w:sz w:val="20"/>
        </w:rPr>
        <w:t>D. Non-IID Data Heterogeneity and Client Dropout Mitigation</w:t>
      </w:r>
    </w:p>
    <w:p>
      <w:pPr>
        <w:spacing w:before="0" w:after="80" w:line="252" w:lineRule="auto"/>
        <w:jc w:val="both"/>
      </w:pPr>
      <w:r>
        <w:rPr>
          <w:rFonts w:ascii="Times New Roman" w:hAnsi="Times New Roman"/>
          <w:sz w:val="19"/>
        </w:rPr>
        <w:t>Data heterogeneity across medical centers presents a fundamental optimization challenge [13]–[15]. Zhao et al. [13] proved that weight divergence in FedAvg is proportional to the Earth Mover's Distance (EMD) between client distributions. Li et al. [14] proposed FedProx, incorporating a proximal term to stabilize local updates under statistical heterogeneity. Karimireddy et al. [15] developed SCAFFOLD, utilizing control variates to correct client-drift during local training. While these methods mitigate gradient variance, they do not incorporate empirical communication telemetry or cryptographic secret sharing.</w:t>
      </w:r>
    </w:p>
    <w:p>
      <w:pPr>
        <w:keepNext/>
        <w:spacing w:before="140" w:after="60"/>
        <w:jc w:val="left"/>
      </w:pPr>
      <w:r>
        <w:rPr>
          <w:rFonts w:ascii="Times New Roman" w:hAnsi="Times New Roman"/>
          <w:i/>
          <w:sz w:val="20"/>
        </w:rPr>
        <w:t>E. Directly Related Work and Scope of Proposed System</w:t>
      </w:r>
    </w:p>
    <w:p>
      <w:pPr>
        <w:spacing w:before="0" w:after="80" w:line="252" w:lineRule="auto"/>
        <w:jc w:val="both"/>
      </w:pPr>
      <w:r>
        <w:rPr>
          <w:rFonts w:ascii="Times New Roman" w:hAnsi="Times New Roman"/>
          <w:sz w:val="19"/>
        </w:rPr>
        <w:t>Most existing literature addresses privacy (SMPC/Differential Privacy) or robustness (Byzantine filtering) in isolation. The narrow scope of ATA-FL is an implementation-oriented boundary architecture that unifies continuous four-component behavioral telemetry, temporal EMA memory, and Shamir's (k, n) homomorphic aggregation within a clinical healthcare pipeline. Rather than treating clients with binary exclusion, ATA-FL uses continuous soft trust weighting to preserve non-IID epidemiological diversity while safeguarding against corruption.</w:t>
      </w:r>
    </w:p>
    <w:p>
      <w:pPr>
        <w:keepNext/>
        <w:spacing w:before="140" w:after="60"/>
        <w:jc w:val="left"/>
      </w:pPr>
      <w:r>
        <w:rPr>
          <w:rFonts w:ascii="Times New Roman" w:hAnsi="Times New Roman"/>
          <w:i/>
          <w:sz w:val="20"/>
        </w:rPr>
        <w:t>F. Healthcare Regulatory Compliance, HIPAA, and Ethics</w:t>
      </w:r>
    </w:p>
    <w:p>
      <w:pPr>
        <w:spacing w:before="0" w:after="80" w:line="252" w:lineRule="auto"/>
        <w:jc w:val="both"/>
      </w:pPr>
      <w:r>
        <w:rPr>
          <w:rFonts w:ascii="Times New Roman" w:hAnsi="Times New Roman"/>
          <w:sz w:val="19"/>
        </w:rPr>
        <w:t>Deploying AI within clinical consortia requires strict alignment with legal and ethical standards [4], [6]. Kaissis et al. [6] analyzed privacy-preserving architectures under HIPAA and GDPR, showing that standard pseudonymization is insufficient to prevent re-identification. Cryptographic multi-party computation guarantees mathematical privacy, ensuring that no institutional node—nor the central orchestrator—can access patient-level representations.</w:t>
      </w:r>
    </w:p>
    <w:p>
      <w:pPr>
        <w:keepNext/>
        <w:spacing w:before="200" w:after="80"/>
        <w:jc w:val="center"/>
      </w:pPr>
      <w:r>
        <w:rPr>
          <w:rFonts w:ascii="Times New Roman" w:hAnsi="Times New Roman"/>
          <w:b/>
          <w:sz w:val="20"/>
        </w:rPr>
        <w:t>III. PROBLEM FORMULATION</w:t>
      </w:r>
    </w:p>
    <w:p>
      <w:pPr>
        <w:keepNext/>
        <w:spacing w:before="140" w:after="60"/>
        <w:jc w:val="left"/>
      </w:pPr>
      <w:r>
        <w:rPr>
          <w:rFonts w:ascii="Times New Roman" w:hAnsi="Times New Roman"/>
          <w:i/>
          <w:sz w:val="20"/>
        </w:rPr>
        <w:t>A. Multi-Hospital Federated Consortia and Threat Model</w:t>
      </w:r>
    </w:p>
    <w:p>
      <w:pPr>
        <w:spacing w:before="0" w:after="80" w:line="252" w:lineRule="auto"/>
        <w:jc w:val="both"/>
      </w:pPr>
      <w:r>
        <w:rPr>
          <w:rFonts w:ascii="Times New Roman" w:hAnsi="Times New Roman"/>
          <w:sz w:val="19"/>
        </w:rPr>
        <w:t>Consider a healthcare consortium comprising M distinct smart hospitals, denoted as {H_1, H_2, ..., H_M}. Each hospital H_h maintains a private, non-transferable local dataset D_h containing n_h clinical records, where the total sample size across all hospitals is N = sum(n_h). The local data distributions P_h(x, y) are non-IID such that P_i(x, y) != P_j(x, y) for i != j.</w:t>
      </w:r>
    </w:p>
    <w:p>
      <w:pPr>
        <w:spacing w:before="0" w:after="80" w:line="252" w:lineRule="auto"/>
        <w:jc w:val="both"/>
      </w:pPr>
      <w:r>
        <w:rPr>
          <w:rFonts w:ascii="Times New Roman" w:hAnsi="Times New Roman"/>
          <w:sz w:val="19"/>
        </w:rPr>
        <w:t>We assume an honest-but-curious coordinator: the central server correctly executes the coordination protocol but may attempt to infer sensitive patient records from observed parameter updates. Furthermore, participating hospital nodes operate in an untrusted network environment characterized by: (1) network timeouts with probability p_drop, failing to return updates within the round deadline; and (2) noisy or corrupted weight updates delta_w_h due to sensor miscalibrations or adversarial manipulation.</w:t>
      </w:r>
    </w:p>
    <w:p>
      <w:pPr>
        <w:keepNext/>
        <w:spacing w:before="140" w:after="60"/>
        <w:jc w:val="left"/>
      </w:pPr>
      <w:r>
        <w:rPr>
          <w:rFonts w:ascii="Times New Roman" w:hAnsi="Times New Roman"/>
          <w:i/>
          <w:sz w:val="20"/>
        </w:rPr>
        <w:t>B. Trust-Aware Secure Aggregation Objective</w:t>
      </w:r>
    </w:p>
    <w:p>
      <w:pPr>
        <w:spacing w:before="0" w:after="80" w:line="252" w:lineRule="auto"/>
        <w:jc w:val="both"/>
      </w:pPr>
      <w:r>
        <w:rPr>
          <w:rFonts w:ascii="Times New Roman" w:hAnsi="Times New Roman"/>
          <w:sz w:val="19"/>
        </w:rPr>
        <w:t>The consortium aims to minimize the global empirical risk function F(w) over model parameters w in R^d:</w:t>
      </w:r>
    </w:p>
    <w:p>
      <w:pPr>
        <w:spacing w:before="80" w:after="80"/>
        <w:jc w:val="right"/>
      </w:pPr>
      <w:r>
        <w:rPr>
          <w:rFonts w:ascii="Times New Roman" w:hAnsi="Times New Roman"/>
          <w:i/>
          <w:sz w:val="19"/>
        </w:rPr>
        <w:t xml:space="preserve">    min_{w} F(w) = sum_{h=1}^M a(h) F_h(w)    </w:t>
      </w:r>
      <w:r>
        <w:rPr>
          <w:rFonts w:ascii="Times New Roman" w:hAnsi="Times New Roman"/>
          <w:sz w:val="19"/>
        </w:rPr>
        <w:t>(1)</w:t>
      </w:r>
    </w:p>
    <w:p>
      <w:pPr>
        <w:spacing w:before="0" w:after="80" w:line="252" w:lineRule="auto"/>
        <w:jc w:val="both"/>
      </w:pPr>
      <w:r>
        <w:rPr>
          <w:rFonts w:ascii="Times New Roman" w:hAnsi="Times New Roman"/>
          <w:sz w:val="19"/>
        </w:rPr>
        <w:t>where F_h(w) is the local empirical loss on dataset D_h, and a(h) &gt;= 0 represents the normalized aggregation weight assigned to hospital H_h, satisfying the invariant:</w:t>
      </w:r>
    </w:p>
    <w:p>
      <w:pPr>
        <w:spacing w:before="80" w:after="80"/>
        <w:jc w:val="right"/>
      </w:pPr>
      <w:r>
        <w:rPr>
          <w:rFonts w:ascii="Times New Roman" w:hAnsi="Times New Roman"/>
          <w:i/>
          <w:sz w:val="19"/>
        </w:rPr>
        <w:t xml:space="preserve">    sum_{h=1}^M a(h) = 1.0    </w:t>
      </w:r>
      <w:r>
        <w:rPr>
          <w:rFonts w:ascii="Times New Roman" w:hAnsi="Times New Roman"/>
          <w:sz w:val="19"/>
        </w:rPr>
        <w:t>(2)</w:t>
      </w:r>
    </w:p>
    <w:p>
      <w:pPr>
        <w:spacing w:before="0" w:after="80" w:line="252" w:lineRule="auto"/>
        <w:jc w:val="both"/>
      </w:pPr>
      <w:r>
        <w:rPr>
          <w:rFonts w:ascii="Times New Roman" w:hAnsi="Times New Roman"/>
          <w:sz w:val="19"/>
        </w:rPr>
        <w:t>The optimization objective must satisfy two simultaneous constraints: (1) Zero Plaintext Exposure: For any hospital H_h, individual weight updates w_h must never be revealed in plaintext to the coordinator or peer hospitals:</w:t>
      </w:r>
    </w:p>
    <w:p>
      <w:pPr>
        <w:spacing w:before="80" w:after="80"/>
        <w:jc w:val="right"/>
      </w:pPr>
      <w:r>
        <w:rPr>
          <w:rFonts w:ascii="Times New Roman" w:hAnsi="Times New Roman"/>
          <w:i/>
          <w:sz w:val="19"/>
        </w:rPr>
        <w:t xml:space="preserve">    I(w_h; Coordinator View) = 0    </w:t>
      </w:r>
      <w:r>
        <w:rPr>
          <w:rFonts w:ascii="Times New Roman" w:hAnsi="Times New Roman"/>
          <w:sz w:val="19"/>
        </w:rPr>
        <w:t>(3)</w:t>
      </w:r>
    </w:p>
    <w:p>
      <w:pPr>
        <w:spacing w:before="0" w:after="80" w:line="252" w:lineRule="auto"/>
        <w:jc w:val="both"/>
      </w:pPr>
      <w:r>
        <w:rPr>
          <w:rFonts w:ascii="Times New Roman" w:hAnsi="Times New Roman"/>
          <w:sz w:val="19"/>
        </w:rPr>
        <w:t>and (2) Byzantine &amp; Non-IID Stability: Aggregation weights a(h) must dynamically attenuate corrupted updates without eliminating unique, non-IID physiological features.</w:t>
      </w:r>
    </w:p>
    <w:p>
      <w:pPr>
        <w:keepNext/>
        <w:spacing w:before="200" w:after="80"/>
        <w:jc w:val="center"/>
      </w:pPr>
      <w:r>
        <w:rPr>
          <w:rFonts w:ascii="Times New Roman" w:hAnsi="Times New Roman"/>
          <w:b/>
          <w:sz w:val="20"/>
        </w:rPr>
        <w:t>IV. PROPOSED ATA-FL FRAMEWORK</w:t>
      </w:r>
    </w:p>
    <w:p>
      <w:pPr>
        <w:keepNext/>
        <w:spacing w:before="140" w:after="60"/>
        <w:jc w:val="left"/>
      </w:pPr>
      <w:r>
        <w:rPr>
          <w:rFonts w:ascii="Times New Roman" w:hAnsi="Times New Roman"/>
          <w:i/>
          <w:sz w:val="20"/>
        </w:rPr>
        <w:t>A. Hospital Perimeter Partitioning and Zero-Exposure Architecture</w:t>
      </w:r>
    </w:p>
    <w:p>
      <w:pPr>
        <w:spacing w:before="0" w:after="80" w:line="252" w:lineRule="auto"/>
        <w:jc w:val="both"/>
      </w:pPr>
      <w:r>
        <w:rPr>
          <w:rFonts w:ascii="Times New Roman" w:hAnsi="Times New Roman"/>
          <w:sz w:val="19"/>
        </w:rPr>
        <w:t>ATA-FL maintains a strict architectural boundary between local institutional environments and the global coordination plane:</w:t>
      </w:r>
    </w:p>
    <w:p>
      <w:pPr>
        <w:pStyle w:val="ListBullet"/>
        <w:spacing w:before="0" w:after="40" w:line="252" w:lineRule="auto"/>
        <w:jc w:val="both"/>
      </w:pPr>
      <w:r>
        <w:rPr>
          <w:rFonts w:ascii="Times New Roman" w:hAnsi="Times New Roman"/>
          <w:b/>
          <w:sz w:val="19"/>
        </w:rPr>
        <w:t xml:space="preserve">• Private Hospital Perimeter: </w:t>
      </w:r>
      <w:r>
        <w:rPr>
          <w:rFonts w:ascii="Times New Roman" w:hAnsi="Times New Roman"/>
          <w:sz w:val="19"/>
        </w:rPr>
        <w:t>Each hospital node operates behind an enterprise firewall. All feature extraction, gradient computations, and local backpropagation occur strictly within the hospital's local compute infrastructure. Raw patient electronic health records (EHR) never leave this perimeter.</w:t>
      </w:r>
    </w:p>
    <w:p>
      <w:pPr>
        <w:pStyle w:val="ListBullet"/>
        <w:spacing w:before="0" w:after="40" w:line="252" w:lineRule="auto"/>
        <w:jc w:val="both"/>
      </w:pPr>
      <w:r>
        <w:rPr>
          <w:rFonts w:ascii="Times New Roman" w:hAnsi="Times New Roman"/>
          <w:b/>
          <w:sz w:val="19"/>
        </w:rPr>
        <w:t xml:space="preserve">• Telemetry &amp; Secret Sharing Boundary: </w:t>
      </w:r>
      <w:r>
        <w:rPr>
          <w:rFonts w:ascii="Times New Roman" w:hAnsi="Times New Roman"/>
          <w:sz w:val="19"/>
        </w:rPr>
        <w:t>Before communicating with the central orchestrator, local updates are evaluated for telemetry reporting, and parameter vectors are decomposed into cryptographic polynomial shares.</w:t>
      </w:r>
    </w:p>
    <w:p>
      <w:pPr>
        <w:pStyle w:val="ListBullet"/>
        <w:spacing w:before="0" w:after="40" w:line="252" w:lineRule="auto"/>
        <w:jc w:val="both"/>
      </w:pPr>
      <w:r>
        <w:rPr>
          <w:rFonts w:ascii="Times New Roman" w:hAnsi="Times New Roman"/>
          <w:b/>
          <w:sz w:val="19"/>
        </w:rPr>
        <w:t xml:space="preserve">• Coordination Plane: </w:t>
      </w:r>
      <w:r>
        <w:rPr>
          <w:rFonts w:ascii="Times New Roman" w:hAnsi="Times New Roman"/>
          <w:sz w:val="19"/>
        </w:rPr>
        <w:t>The edge coordinator collects encrypted shares, computes trust metrics, and performs homomorphic aggregation, broadcasting only the aggregated model back to the consortium.</w:t>
      </w:r>
    </w:p>
    <w:p>
      <w:pPr>
        <w:keepNext/>
        <w:spacing w:before="140" w:after="60"/>
        <w:jc w:val="left"/>
      </w:pPr>
      <w:r>
        <w:rPr>
          <w:rFonts w:ascii="Times New Roman" w:hAnsi="Times New Roman"/>
          <w:i/>
          <w:sz w:val="20"/>
        </w:rPr>
        <w:t>B. Local PyTorch Clinical Severity Modeling</w:t>
      </w:r>
    </w:p>
    <w:p>
      <w:pPr>
        <w:spacing w:before="0" w:after="80" w:line="252" w:lineRule="auto"/>
        <w:jc w:val="both"/>
      </w:pPr>
      <w:r>
        <w:rPr>
          <w:rFonts w:ascii="Times New Roman" w:hAnsi="Times New Roman"/>
          <w:sz w:val="19"/>
        </w:rPr>
        <w:t>Each hospital trains a deep neural network tailored for multi-class clinical triage and severity assessment (ClinicalSeverityMLP). The network ingests seven standardized physiological vital signs and clinical biomarkers: (1) Age; (2) Heart Rate (HR); (3) Blood Oxygen Saturation (SpO2); (4) Blood Pressure (BP); (5) Blood Glucose; (6) White Blood Cell Count (WBC); and (7) Serum Creatinine.</w:t>
      </w:r>
    </w:p>
    <w:p>
      <w:pPr>
        <w:spacing w:before="0" w:after="80" w:line="252" w:lineRule="auto"/>
        <w:jc w:val="both"/>
      </w:pPr>
      <w:r>
        <w:rPr>
          <w:rFonts w:ascii="Times New Roman" w:hAnsi="Times New Roman"/>
          <w:sz w:val="19"/>
        </w:rPr>
        <w:t>The model consists of fully connected layers with batch normalization, rectified linear unit (ReLU) activations, and dropout regularization:</w:t>
      </w:r>
    </w:p>
    <w:p>
      <w:pPr>
        <w:spacing w:before="80" w:after="80"/>
        <w:jc w:val="right"/>
      </w:pPr>
      <w:r>
        <w:rPr>
          <w:rFonts w:ascii="Times New Roman" w:hAnsi="Times New Roman"/>
          <w:i/>
          <w:sz w:val="19"/>
        </w:rPr>
        <w:t xml:space="preserve">    z^(1) = ReLU(BN(W_1 x + b_1))    </w:t>
      </w:r>
      <w:r>
        <w:rPr>
          <w:rFonts w:ascii="Times New Roman" w:hAnsi="Times New Roman"/>
          <w:sz w:val="19"/>
        </w:rPr>
        <w:t>(4)</w:t>
      </w:r>
    </w:p>
    <w:p>
      <w:pPr>
        <w:spacing w:before="80" w:after="80"/>
        <w:jc w:val="right"/>
      </w:pPr>
      <w:r>
        <w:rPr>
          <w:rFonts w:ascii="Times New Roman" w:hAnsi="Times New Roman"/>
          <w:i/>
          <w:sz w:val="19"/>
        </w:rPr>
        <w:t xml:space="preserve">    z^(2) = ReLU(BN(W_2 z^(1) + b_2))    </w:t>
      </w:r>
      <w:r>
        <w:rPr>
          <w:rFonts w:ascii="Times New Roman" w:hAnsi="Times New Roman"/>
          <w:sz w:val="19"/>
        </w:rPr>
        <w:t>(5)</w:t>
      </w:r>
    </w:p>
    <w:p>
      <w:pPr>
        <w:spacing w:before="80" w:after="80"/>
        <w:jc w:val="right"/>
      </w:pPr>
      <w:r>
        <w:rPr>
          <w:rFonts w:ascii="Times New Roman" w:hAnsi="Times New Roman"/>
          <w:i/>
          <w:sz w:val="19"/>
        </w:rPr>
        <w:t xml:space="preserve">    y_hat = Softmax(W_3 z^(2) + b_3)    </w:t>
      </w:r>
      <w:r>
        <w:rPr>
          <w:rFonts w:ascii="Times New Roman" w:hAnsi="Times New Roman"/>
          <w:sz w:val="19"/>
        </w:rPr>
        <w:t>(6)</w:t>
      </w:r>
    </w:p>
    <w:p>
      <w:pPr>
        <w:spacing w:before="0" w:after="80" w:line="252" w:lineRule="auto"/>
        <w:jc w:val="both"/>
      </w:pPr>
      <w:r>
        <w:rPr>
          <w:rFonts w:ascii="Times New Roman" w:hAnsi="Times New Roman"/>
          <w:sz w:val="19"/>
        </w:rPr>
        <w:t>Local optimization minimizes the multi-class cross-entropy loss over local batches using the Adam optimizer with learning rate eta = 10^-3:</w:t>
      </w:r>
    </w:p>
    <w:p>
      <w:pPr>
        <w:spacing w:before="80" w:after="80"/>
        <w:jc w:val="right"/>
      </w:pPr>
      <w:r>
        <w:rPr>
          <w:rFonts w:ascii="Times New Roman" w:hAnsi="Times New Roman"/>
          <w:i/>
          <w:sz w:val="19"/>
        </w:rPr>
        <w:t xml:space="preserve">    L_CE(y, y_hat) = - sum_{c=1}^C y_c log(y_hat_c)    </w:t>
      </w:r>
      <w:r>
        <w:rPr>
          <w:rFonts w:ascii="Times New Roman" w:hAnsi="Times New Roman"/>
          <w:sz w:val="19"/>
        </w:rPr>
        <w:t>(7)</w:t>
      </w:r>
    </w:p>
    <w:p>
      <w:pPr>
        <w:keepNext/>
        <w:spacing w:before="140" w:after="60"/>
        <w:jc w:val="left"/>
      </w:pPr>
      <w:r>
        <w:rPr>
          <w:rFonts w:ascii="Times New Roman" w:hAnsi="Times New Roman"/>
          <w:i/>
          <w:sz w:val="20"/>
        </w:rPr>
        <w:t>C. Four-Component Adaptive Trust Scoring</w:t>
      </w:r>
    </w:p>
    <w:p>
      <w:pPr>
        <w:spacing w:before="0" w:after="80" w:line="252" w:lineRule="auto"/>
        <w:jc w:val="both"/>
      </w:pPr>
      <w:r>
        <w:rPr>
          <w:rFonts w:ascii="Times New Roman" w:hAnsi="Times New Roman"/>
          <w:sz w:val="19"/>
        </w:rPr>
        <w:t>Rather than relying on simplistic client reputation heuristics, ATA-FL evaluates client reliability via a multi-dimensional technical score s(t) in [0, 1] computed in every federated round t:</w:t>
      </w:r>
    </w:p>
    <w:p>
      <w:pPr>
        <w:spacing w:before="80" w:after="80"/>
        <w:jc w:val="right"/>
      </w:pPr>
      <w:r>
        <w:rPr>
          <w:rFonts w:ascii="Times New Roman" w:hAnsi="Times New Roman"/>
          <w:i/>
          <w:sz w:val="19"/>
        </w:rPr>
        <w:t xml:space="preserve">    s(t) = 0.30 U(t) + 0.25 P(t) + 0.20 C(t) + 0.25 V(t)    </w:t>
      </w:r>
      <w:r>
        <w:rPr>
          <w:rFonts w:ascii="Times New Roman" w:hAnsi="Times New Roman"/>
          <w:sz w:val="19"/>
        </w:rPr>
        <w:t>(8)</w:t>
      </w:r>
    </w:p>
    <w:p>
      <w:pPr>
        <w:spacing w:before="0" w:after="80" w:line="252" w:lineRule="auto"/>
        <w:jc w:val="both"/>
      </w:pPr>
      <w:r>
        <w:rPr>
          <w:rFonts w:ascii="Times New Roman" w:hAnsi="Times New Roman"/>
          <w:sz w:val="19"/>
        </w:rPr>
        <w:t>The four orthogonal components are formulated as follows:</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Update Consistency (U, 30%): </w:t>
      </w:r>
      <w:r>
        <w:rPr>
          <w:rFonts w:ascii="Times New Roman" w:hAnsi="Times New Roman"/>
          <w:sz w:val="19"/>
        </w:rPr>
        <w:t>Quantifies directional alignment between the hospital's proposed gradient update delta_w_h and the robust median reference vector delta_w_ref across participating nodes:</w:t>
      </w:r>
    </w:p>
    <w:p>
      <w:pPr>
        <w:spacing w:before="80" w:after="80"/>
        <w:jc w:val="right"/>
      </w:pPr>
      <w:r>
        <w:rPr>
          <w:rFonts w:ascii="Times New Roman" w:hAnsi="Times New Roman"/>
          <w:i/>
          <w:sz w:val="19"/>
        </w:rPr>
        <w:t xml:space="preserve">    U = max(0, (delta_w_h . delta_w_ref) / (||delta_w_h|| ||delta_w_ref||))    </w:t>
      </w:r>
      <w:r>
        <w:rPr>
          <w:rFonts w:ascii="Times New Roman" w:hAnsi="Times New Roman"/>
          <w:sz w:val="19"/>
        </w:rPr>
        <w:t>(9)</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Participation Reliability (P, 25%): </w:t>
      </w:r>
      <w:r>
        <w:rPr>
          <w:rFonts w:ascii="Times New Roman" w:hAnsi="Times New Roman"/>
          <w:sz w:val="19"/>
        </w:rPr>
        <w:t>Evaluates historical round attendance and availability:</w:t>
      </w:r>
    </w:p>
    <w:p>
      <w:pPr>
        <w:spacing w:before="80" w:after="80"/>
        <w:jc w:val="right"/>
      </w:pPr>
      <w:r>
        <w:rPr>
          <w:rFonts w:ascii="Times New Roman" w:hAnsi="Times New Roman"/>
          <w:i/>
          <w:sz w:val="19"/>
        </w:rPr>
        <w:t xml:space="preserve">    P = R_completed / R_scheduled    </w:t>
      </w:r>
      <w:r>
        <w:rPr>
          <w:rFonts w:ascii="Times New Roman" w:hAnsi="Times New Roman"/>
          <w:sz w:val="19"/>
        </w:rPr>
        <w:t>(10)</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Communication Stability (C, 20%): </w:t>
      </w:r>
      <w:r>
        <w:rPr>
          <w:rFonts w:ascii="Times New Roman" w:hAnsi="Times New Roman"/>
          <w:sz w:val="19"/>
        </w:rPr>
        <w:t>Measures network latency and round response time, penalizing sluggish edge connections:</w:t>
      </w:r>
    </w:p>
    <w:p>
      <w:pPr>
        <w:spacing w:before="80" w:after="80"/>
        <w:jc w:val="right"/>
      </w:pPr>
      <w:r>
        <w:rPr>
          <w:rFonts w:ascii="Times New Roman" w:hAnsi="Times New Roman"/>
          <w:i/>
          <w:sz w:val="19"/>
        </w:rPr>
        <w:t xml:space="preserve">    C = max(0, 1.0 - max(0, T_latency - T_base) / (T_max - T_base))    </w:t>
      </w:r>
      <w:r>
        <w:rPr>
          <w:rFonts w:ascii="Times New Roman" w:hAnsi="Times New Roman"/>
          <w:sz w:val="19"/>
        </w:rPr>
        <w:t>(11)</w:t>
      </w:r>
    </w:p>
    <w:p>
      <w:pPr>
        <w:spacing w:before="0" w:after="80" w:line="252" w:lineRule="auto"/>
        <w:jc w:val="both"/>
      </w:pPr>
      <w:r>
        <w:rPr>
          <w:rFonts w:ascii="Times New Roman" w:hAnsi="Times New Roman"/>
          <w:sz w:val="19"/>
        </w:rPr>
        <w:t>where T_base = 80 ms and T_max = 500 ms.</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Validation Contribution (V, 25%): </w:t>
      </w:r>
      <w:r>
        <w:rPr>
          <w:rFonts w:ascii="Times New Roman" w:hAnsi="Times New Roman"/>
          <w:sz w:val="19"/>
        </w:rPr>
        <w:t>Assesses empirical generalization on an isolated held-out reference validation set:</w:t>
      </w:r>
    </w:p>
    <w:p>
      <w:pPr>
        <w:spacing w:before="80" w:after="80"/>
        <w:jc w:val="right"/>
      </w:pPr>
      <w:r>
        <w:rPr>
          <w:rFonts w:ascii="Times New Roman" w:hAnsi="Times New Roman"/>
          <w:i/>
          <w:sz w:val="19"/>
        </w:rPr>
        <w:t xml:space="preserve">    V = sigma(alpha Delta_Acc + beta Delta_Loss)    </w:t>
      </w:r>
      <w:r>
        <w:rPr>
          <w:rFonts w:ascii="Times New Roman" w:hAnsi="Times New Roman"/>
          <w:sz w:val="19"/>
        </w:rPr>
        <w:t>(12)</w:t>
      </w:r>
    </w:p>
    <w:p>
      <w:pPr>
        <w:spacing w:before="0" w:after="80" w:line="252" w:lineRule="auto"/>
        <w:jc w:val="both"/>
      </w:pPr>
      <w:r>
        <w:rPr>
          <w:rFonts w:ascii="Times New Roman" w:hAnsi="Times New Roman"/>
          <w:sz w:val="19"/>
        </w:rPr>
        <w:t>where Delta_Loss = Loss_prior - Loss_current, and sigma is the standard sigmoid normalization.</w:t>
      </w:r>
    </w:p>
    <w:p>
      <w:pPr>
        <w:keepNext/>
        <w:spacing w:before="140" w:after="60"/>
        <w:jc w:val="left"/>
      </w:pPr>
      <w:r>
        <w:rPr>
          <w:rFonts w:ascii="Times New Roman" w:hAnsi="Times New Roman"/>
          <w:i/>
          <w:sz w:val="20"/>
        </w:rPr>
        <w:t>D. Temporal Trust Memory via Exponential Moving Average (EMA)</w:t>
      </w:r>
    </w:p>
    <w:p>
      <w:pPr>
        <w:spacing w:before="0" w:after="80" w:line="252" w:lineRule="auto"/>
        <w:jc w:val="both"/>
      </w:pPr>
      <w:r>
        <w:rPr>
          <w:rFonts w:ascii="Times New Roman" w:hAnsi="Times New Roman"/>
          <w:sz w:val="19"/>
        </w:rPr>
        <w:t>To prevent transient network jitter from penalizing reliable medical centers, trust scores are smoothed across time using an Exponential Moving Average (EMA):</w:t>
      </w:r>
    </w:p>
    <w:p>
      <w:pPr>
        <w:spacing w:before="80" w:after="80"/>
        <w:jc w:val="right"/>
      </w:pPr>
      <w:r>
        <w:rPr>
          <w:rFonts w:ascii="Times New Roman" w:hAnsi="Times New Roman"/>
          <w:i/>
          <w:sz w:val="19"/>
        </w:rPr>
        <w:t xml:space="preserve">    tau(t+1) = lambda tau(t) + (1 - lambda) s(t)    </w:t>
      </w:r>
      <w:r>
        <w:rPr>
          <w:rFonts w:ascii="Times New Roman" w:hAnsi="Times New Roman"/>
          <w:sz w:val="19"/>
        </w:rPr>
        <w:t>(13)</w:t>
      </w:r>
    </w:p>
    <w:p>
      <w:pPr>
        <w:spacing w:before="0" w:after="80" w:line="252" w:lineRule="auto"/>
        <w:jc w:val="both"/>
      </w:pPr>
      <w:r>
        <w:rPr>
          <w:rFonts w:ascii="Times New Roman" w:hAnsi="Times New Roman"/>
          <w:sz w:val="19"/>
        </w:rPr>
        <w:t>with memory factor lambda = 0.90. Newly enrolled hospital nodes initialize with a neutral trust score tau_0 = 0.50, ensuring fair onboarding.</w:t>
      </w:r>
    </w:p>
    <w:p>
      <w:pPr>
        <w:keepNext/>
        <w:spacing w:before="140" w:after="60"/>
        <w:jc w:val="left"/>
      </w:pPr>
      <w:r>
        <w:rPr>
          <w:rFonts w:ascii="Times New Roman" w:hAnsi="Times New Roman"/>
          <w:i/>
          <w:sz w:val="20"/>
        </w:rPr>
        <w:t>E. Trust-Adjusted Aggregation Weighting</w:t>
      </w:r>
    </w:p>
    <w:p>
      <w:pPr>
        <w:spacing w:before="0" w:after="80" w:line="252" w:lineRule="auto"/>
        <w:jc w:val="both"/>
      </w:pPr>
      <w:r>
        <w:rPr>
          <w:rFonts w:ascii="Times New Roman" w:hAnsi="Times New Roman"/>
          <w:sz w:val="19"/>
        </w:rPr>
        <w:t>Standard FedAvg weights client contributions purely based on local dataset size: q(h) = n_h / N. In ATA-FL, aggregation weights dynamically incorporate each hospital's historical trust score tau(h):</w:t>
      </w:r>
    </w:p>
    <w:p>
      <w:pPr>
        <w:spacing w:before="80" w:after="80"/>
        <w:jc w:val="right"/>
      </w:pPr>
      <w:r>
        <w:rPr>
          <w:rFonts w:ascii="Times New Roman" w:hAnsi="Times New Roman"/>
          <w:i/>
          <w:sz w:val="19"/>
        </w:rPr>
        <w:t xml:space="preserve">    a(h) = [ q(h) * tau(h) ] / [ sum_{j=1}^M q(j) * tau(j) ]    </w:t>
      </w:r>
      <w:r>
        <w:rPr>
          <w:rFonts w:ascii="Times New Roman" w:hAnsi="Times New Roman"/>
          <w:sz w:val="19"/>
        </w:rPr>
        <w:t>(14)</w:t>
      </w:r>
    </w:p>
    <w:p>
      <w:pPr>
        <w:spacing w:before="0" w:after="80" w:line="252" w:lineRule="auto"/>
        <w:jc w:val="both"/>
      </w:pPr>
      <w:r>
        <w:rPr>
          <w:rFonts w:ascii="Times New Roman" w:hAnsi="Times New Roman"/>
          <w:sz w:val="19"/>
        </w:rPr>
        <w:t>This normalization rigorously guarantees sum_{h=1}^M a(h) = 1.0 for all valid rounds.</w:t>
      </w:r>
    </w:p>
    <w:p>
      <w:pPr>
        <w:keepNext/>
        <w:spacing w:before="140" w:after="60"/>
        <w:jc w:val="left"/>
      </w:pPr>
      <w:r>
        <w:rPr>
          <w:rFonts w:ascii="Times New Roman" w:hAnsi="Times New Roman"/>
          <w:i/>
          <w:sz w:val="20"/>
        </w:rPr>
        <w:t>F. Shamir's (k, n) Polynomial Secret Sharing and Homomorphic Lagrange Reconstruction</w:t>
      </w:r>
    </w:p>
    <w:p>
      <w:pPr>
        <w:spacing w:before="0" w:after="80" w:line="252" w:lineRule="auto"/>
        <w:jc w:val="both"/>
      </w:pPr>
      <w:r>
        <w:rPr>
          <w:rFonts w:ascii="Times New Roman" w:hAnsi="Times New Roman"/>
          <w:sz w:val="19"/>
        </w:rPr>
        <w:t>To provide cryptographic privacy guarantees, model weight vectors are protected via polynomial secret sharing [7]:</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Polynomial Share Generation: </w:t>
      </w:r>
      <w:r>
        <w:rPr>
          <w:rFonts w:ascii="Times New Roman" w:hAnsi="Times New Roman"/>
          <w:sz w:val="19"/>
        </w:rPr>
        <w:t>Each hospital H_h conceals its local parameter vector w_h by generating a random degree-(k-1) polynomial in finite field F_p:</w:t>
      </w:r>
    </w:p>
    <w:p>
      <w:pPr>
        <w:spacing w:before="80" w:after="80"/>
        <w:jc w:val="right"/>
      </w:pPr>
      <w:r>
        <w:rPr>
          <w:rFonts w:ascii="Times New Roman" w:hAnsi="Times New Roman"/>
          <w:i/>
          <w:sz w:val="19"/>
        </w:rPr>
        <w:t xml:space="preserve">    P_h(x) = w_h + sum_{m=1}^{k-1} c_{h, m} x^m    </w:t>
      </w:r>
      <w:r>
        <w:rPr>
          <w:rFonts w:ascii="Times New Roman" w:hAnsi="Times New Roman"/>
          <w:sz w:val="19"/>
        </w:rPr>
        <w:t>(15)</w:t>
      </w:r>
    </w:p>
    <w:p>
      <w:pPr>
        <w:spacing w:before="0" w:after="80" w:line="252" w:lineRule="auto"/>
        <w:jc w:val="both"/>
      </w:pPr>
      <w:r>
        <w:rPr>
          <w:rFonts w:ascii="Times New Roman" w:hAnsi="Times New Roman"/>
          <w:sz w:val="19"/>
        </w:rPr>
        <w:t>where P_h(0) = w_h represents the private secret.</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Homomorphic Share Aggregation: </w:t>
      </w:r>
      <w:r>
        <w:rPr>
          <w:rFonts w:ascii="Times New Roman" w:hAnsi="Times New Roman"/>
          <w:sz w:val="19"/>
        </w:rPr>
        <w:t>Each node evaluates its polynomial at n points {x_1, ..., x_n} and distributes share P_h(x_i). Due to polynomial linearity:</w:t>
      </w:r>
    </w:p>
    <w:p>
      <w:pPr>
        <w:spacing w:before="80" w:after="80"/>
        <w:jc w:val="right"/>
      </w:pPr>
      <w:r>
        <w:rPr>
          <w:rFonts w:ascii="Times New Roman" w:hAnsi="Times New Roman"/>
          <w:i/>
          <w:sz w:val="19"/>
        </w:rPr>
        <w:t xml:space="preserve">    S_agg(x_i) = sum_{h=1}^M a(h) P_h(x_i) = P_agg(x_i)    </w:t>
      </w:r>
      <w:r>
        <w:rPr>
          <w:rFonts w:ascii="Times New Roman" w:hAnsi="Times New Roman"/>
          <w:sz w:val="19"/>
        </w:rPr>
        <w:t>(16)</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Lagrange Interpolation at x = 0: </w:t>
      </w:r>
      <w:r>
        <w:rPr>
          <w:rFonts w:ascii="Times New Roman" w:hAnsi="Times New Roman"/>
          <w:sz w:val="19"/>
        </w:rPr>
        <w:t>Once at least k aggregated shares {(x_i, S_agg(x_i))}_{i=1}^k are collected by the coordinator, the global aggregate is reconstructed via Lagrange basis polynomials:</w:t>
      </w:r>
    </w:p>
    <w:p>
      <w:pPr>
        <w:spacing w:before="80" w:after="80"/>
        <w:jc w:val="right"/>
      </w:pPr>
      <w:r>
        <w:rPr>
          <w:rFonts w:ascii="Times New Roman" w:hAnsi="Times New Roman"/>
          <w:i/>
          <w:sz w:val="19"/>
        </w:rPr>
        <w:t xml:space="preserve">    w_agg = P_agg(0) = sum_{i=1}^k ell_i(0) S_agg(x_i)    </w:t>
      </w:r>
      <w:r>
        <w:rPr>
          <w:rFonts w:ascii="Times New Roman" w:hAnsi="Times New Roman"/>
          <w:sz w:val="19"/>
        </w:rPr>
        <w:t>(17)</w:t>
      </w:r>
    </w:p>
    <w:p>
      <w:pPr>
        <w:spacing w:before="0" w:after="80" w:line="252" w:lineRule="auto"/>
        <w:jc w:val="both"/>
      </w:pPr>
      <w:r>
        <w:rPr>
          <w:rFonts w:ascii="Times New Roman" w:hAnsi="Times New Roman"/>
          <w:sz w:val="19"/>
        </w:rPr>
        <w:t>where ell_i(0) = prod_{j != i} [-x_j / (x_i - x_j)]. Any subset of fewer than k shares reveals zero information regarding w_h, guaranteeing mathematical privacy against honest-but-curious coordinators.</w:t>
      </w:r>
    </w:p>
    <w:p>
      <w:pPr>
        <w:keepNext/>
        <w:spacing w:before="160" w:after="60"/>
        <w:jc w:val="center"/>
      </w:pPr>
      <w:r>
        <w:rPr>
          <w:rFonts w:ascii="Times New Roman" w:hAnsi="Times New Roman"/>
          <w:b/>
          <w:sz w:val="17"/>
        </w:rPr>
        <w:t>TABLE I. FOUR-COMPONENT TRUST TELEMETRY WEIGHTS &amp; SPECIFICATIONS</w:t>
      </w:r>
    </w:p>
    <w:tbl>
      <w:tblPr>
        <w:tblW w:type="auto" w:w="0"/>
        <w:jc w:val="center"/>
        <w:tblLook w:firstColumn="1" w:firstRow="1" w:lastColumn="0" w:lastRow="0" w:noHBand="0" w:noVBand="1" w:val="04A0"/>
      </w:tblPr>
      <w:tblGrid>
        <w:gridCol w:w="2610"/>
        <w:gridCol w:w="2610"/>
        <w:gridCol w:w="2610"/>
        <w:gridCol w:w="2610"/>
      </w:tblGrid>
      <w:tr>
        <w:tc>
          <w:tcPr>
            <w:tcW w:type="dxa" w:w="2610"/>
            <w:shd w:fill="E8EEF5"/>
          </w:tcPr>
          <w:p>
            <w:pPr>
              <w:spacing w:before="40" w:after="40"/>
              <w:jc w:val="center"/>
            </w:pPr>
            <w:r>
              <w:rPr>
                <w:rFonts w:ascii="Times New Roman" w:hAnsi="Times New Roman"/>
                <w:b/>
                <w:sz w:val="16"/>
              </w:rPr>
              <w:t>Metric</w:t>
            </w:r>
          </w:p>
        </w:tc>
        <w:tc>
          <w:tcPr>
            <w:tcW w:type="dxa" w:w="2610"/>
            <w:shd w:fill="E8EEF5"/>
          </w:tcPr>
          <w:p>
            <w:pPr>
              <w:spacing w:before="40" w:after="40"/>
              <w:jc w:val="center"/>
            </w:pPr>
            <w:r>
              <w:rPr>
                <w:rFonts w:ascii="Times New Roman" w:hAnsi="Times New Roman"/>
                <w:b/>
                <w:sz w:val="16"/>
              </w:rPr>
              <w:t>Weight</w:t>
            </w:r>
          </w:p>
        </w:tc>
        <w:tc>
          <w:tcPr>
            <w:tcW w:type="dxa" w:w="2610"/>
            <w:shd w:fill="E8EEF5"/>
          </w:tcPr>
          <w:p>
            <w:pPr>
              <w:spacing w:before="40" w:after="40"/>
              <w:jc w:val="center"/>
            </w:pPr>
            <w:r>
              <w:rPr>
                <w:rFonts w:ascii="Times New Roman" w:hAnsi="Times New Roman"/>
                <w:b/>
                <w:sz w:val="16"/>
              </w:rPr>
              <w:t>Mathematical Source</w:t>
            </w:r>
          </w:p>
        </w:tc>
        <w:tc>
          <w:tcPr>
            <w:tcW w:type="dxa" w:w="2610"/>
            <w:shd w:fill="E8EEF5"/>
          </w:tcPr>
          <w:p>
            <w:pPr>
              <w:spacing w:before="40" w:after="40"/>
              <w:jc w:val="center"/>
            </w:pPr>
            <w:r>
              <w:rPr>
                <w:rFonts w:ascii="Times New Roman" w:hAnsi="Times New Roman"/>
                <w:b/>
                <w:sz w:val="16"/>
              </w:rPr>
              <w:t>Target Property</w:t>
            </w:r>
          </w:p>
        </w:tc>
      </w:tr>
      <w:tr>
        <w:tc>
          <w:tcPr>
            <w:tcW w:type="dxa" w:w="2610"/>
          </w:tcPr>
          <w:p>
            <w:pPr>
              <w:spacing w:before="20" w:after="20"/>
              <w:jc w:val="left"/>
            </w:pPr>
            <w:r>
              <w:rPr>
                <w:rFonts w:ascii="Times New Roman" w:hAnsi="Times New Roman"/>
                <w:sz w:val="16"/>
              </w:rPr>
              <w:t>Update Consistency (U)</w:t>
            </w:r>
          </w:p>
        </w:tc>
        <w:tc>
          <w:tcPr>
            <w:tcW w:type="dxa" w:w="2610"/>
          </w:tcPr>
          <w:p>
            <w:pPr>
              <w:spacing w:before="20" w:after="20"/>
              <w:jc w:val="center"/>
            </w:pPr>
            <w:r>
              <w:rPr>
                <w:rFonts w:ascii="Times New Roman" w:hAnsi="Times New Roman"/>
                <w:sz w:val="16"/>
              </w:rPr>
              <w:t>30%</w:t>
            </w:r>
          </w:p>
        </w:tc>
        <w:tc>
          <w:tcPr>
            <w:tcW w:type="dxa" w:w="2610"/>
          </w:tcPr>
          <w:p>
            <w:pPr>
              <w:spacing w:before="20" w:after="20"/>
              <w:jc w:val="center"/>
            </w:pPr>
            <w:r>
              <w:rPr>
                <w:rFonts w:ascii="Times New Roman" w:hAnsi="Times New Roman"/>
                <w:sz w:val="16"/>
              </w:rPr>
              <w:t>Cosine similarity vs. median delta</w:t>
            </w:r>
          </w:p>
        </w:tc>
        <w:tc>
          <w:tcPr>
            <w:tcW w:type="dxa" w:w="2610"/>
          </w:tcPr>
          <w:p>
            <w:pPr>
              <w:spacing w:before="20" w:after="20"/>
              <w:jc w:val="center"/>
            </w:pPr>
            <w:r>
              <w:rPr>
                <w:rFonts w:ascii="Times New Roman" w:hAnsi="Times New Roman"/>
                <w:sz w:val="16"/>
              </w:rPr>
              <w:t>Model poisoning / Byzantine detection</w:t>
            </w:r>
          </w:p>
        </w:tc>
      </w:tr>
      <w:tr>
        <w:tc>
          <w:tcPr>
            <w:tcW w:type="dxa" w:w="2610"/>
          </w:tcPr>
          <w:p>
            <w:pPr>
              <w:spacing w:before="20" w:after="20"/>
              <w:jc w:val="left"/>
            </w:pPr>
            <w:r>
              <w:rPr>
                <w:rFonts w:ascii="Times New Roman" w:hAnsi="Times New Roman"/>
                <w:sz w:val="16"/>
              </w:rPr>
              <w:t>Participation (P)</w:t>
            </w:r>
          </w:p>
        </w:tc>
        <w:tc>
          <w:tcPr>
            <w:tcW w:type="dxa" w:w="2610"/>
          </w:tcPr>
          <w:p>
            <w:pPr>
              <w:spacing w:before="20" w:after="20"/>
              <w:jc w:val="center"/>
            </w:pPr>
            <w:r>
              <w:rPr>
                <w:rFonts w:ascii="Times New Roman" w:hAnsi="Times New Roman"/>
                <w:sz w:val="16"/>
              </w:rPr>
              <w:t>25%</w:t>
            </w:r>
          </w:p>
        </w:tc>
        <w:tc>
          <w:tcPr>
            <w:tcW w:type="dxa" w:w="2610"/>
          </w:tcPr>
          <w:p>
            <w:pPr>
              <w:spacing w:before="20" w:after="20"/>
              <w:jc w:val="center"/>
            </w:pPr>
            <w:r>
              <w:rPr>
                <w:rFonts w:ascii="Times New Roman" w:hAnsi="Times New Roman"/>
                <w:sz w:val="16"/>
              </w:rPr>
              <w:t>R_completed / R_scheduled</w:t>
            </w:r>
          </w:p>
        </w:tc>
        <w:tc>
          <w:tcPr>
            <w:tcW w:type="dxa" w:w="2610"/>
          </w:tcPr>
          <w:p>
            <w:pPr>
              <w:spacing w:before="20" w:after="20"/>
              <w:jc w:val="center"/>
            </w:pPr>
            <w:r>
              <w:rPr>
                <w:rFonts w:ascii="Times New Roman" w:hAnsi="Times New Roman"/>
                <w:sz w:val="16"/>
              </w:rPr>
              <w:t>Dropout &amp; availability tracking</w:t>
            </w:r>
          </w:p>
        </w:tc>
      </w:tr>
      <w:tr>
        <w:tc>
          <w:tcPr>
            <w:tcW w:type="dxa" w:w="2610"/>
          </w:tcPr>
          <w:p>
            <w:pPr>
              <w:spacing w:before="20" w:after="20"/>
              <w:jc w:val="left"/>
            </w:pPr>
            <w:r>
              <w:rPr>
                <w:rFonts w:ascii="Times New Roman" w:hAnsi="Times New Roman"/>
                <w:sz w:val="16"/>
              </w:rPr>
              <w:t>Communication (C)</w:t>
            </w:r>
          </w:p>
        </w:tc>
        <w:tc>
          <w:tcPr>
            <w:tcW w:type="dxa" w:w="2610"/>
          </w:tcPr>
          <w:p>
            <w:pPr>
              <w:spacing w:before="20" w:after="20"/>
              <w:jc w:val="center"/>
            </w:pPr>
            <w:r>
              <w:rPr>
                <w:rFonts w:ascii="Times New Roman" w:hAnsi="Times New Roman"/>
                <w:sz w:val="16"/>
              </w:rPr>
              <w:t>20%</w:t>
            </w:r>
          </w:p>
        </w:tc>
        <w:tc>
          <w:tcPr>
            <w:tcW w:type="dxa" w:w="2610"/>
          </w:tcPr>
          <w:p>
            <w:pPr>
              <w:spacing w:before="20" w:after="20"/>
              <w:jc w:val="center"/>
            </w:pPr>
            <w:r>
              <w:rPr>
                <w:rFonts w:ascii="Times New Roman" w:hAnsi="Times New Roman"/>
                <w:sz w:val="16"/>
              </w:rPr>
              <w:t>Latency penalty (&gt; 80ms)</w:t>
            </w:r>
          </w:p>
        </w:tc>
        <w:tc>
          <w:tcPr>
            <w:tcW w:type="dxa" w:w="2610"/>
          </w:tcPr>
          <w:p>
            <w:pPr>
              <w:spacing w:before="20" w:after="20"/>
              <w:jc w:val="center"/>
            </w:pPr>
            <w:r>
              <w:rPr>
                <w:rFonts w:ascii="Times New Roman" w:hAnsi="Times New Roman"/>
                <w:sz w:val="16"/>
              </w:rPr>
              <w:t>Network jitter / bottleneck filtering</w:t>
            </w:r>
          </w:p>
        </w:tc>
      </w:tr>
      <w:tr>
        <w:tc>
          <w:tcPr>
            <w:tcW w:type="dxa" w:w="2610"/>
          </w:tcPr>
          <w:p>
            <w:pPr>
              <w:spacing w:before="20" w:after="20"/>
              <w:jc w:val="left"/>
            </w:pPr>
            <w:r>
              <w:rPr>
                <w:rFonts w:ascii="Times New Roman" w:hAnsi="Times New Roman"/>
                <w:sz w:val="16"/>
              </w:rPr>
              <w:t>Validation (V)</w:t>
            </w:r>
          </w:p>
        </w:tc>
        <w:tc>
          <w:tcPr>
            <w:tcW w:type="dxa" w:w="2610"/>
          </w:tcPr>
          <w:p>
            <w:pPr>
              <w:spacing w:before="20" w:after="20"/>
              <w:jc w:val="center"/>
            </w:pPr>
            <w:r>
              <w:rPr>
                <w:rFonts w:ascii="Times New Roman" w:hAnsi="Times New Roman"/>
                <w:sz w:val="16"/>
              </w:rPr>
              <w:t>25%</w:t>
            </w:r>
          </w:p>
        </w:tc>
        <w:tc>
          <w:tcPr>
            <w:tcW w:type="dxa" w:w="2610"/>
          </w:tcPr>
          <w:p>
            <w:pPr>
              <w:spacing w:before="20" w:after="20"/>
              <w:jc w:val="center"/>
            </w:pPr>
            <w:r>
              <w:rPr>
                <w:rFonts w:ascii="Times New Roman" w:hAnsi="Times New Roman"/>
                <w:sz w:val="16"/>
              </w:rPr>
              <w:t>Empirical loss reduction on held-out set</w:t>
            </w:r>
          </w:p>
        </w:tc>
        <w:tc>
          <w:tcPr>
            <w:tcW w:type="dxa" w:w="2610"/>
          </w:tcPr>
          <w:p>
            <w:pPr>
              <w:spacing w:before="20" w:after="20"/>
              <w:jc w:val="center"/>
            </w:pPr>
            <w:r>
              <w:rPr>
                <w:rFonts w:ascii="Times New Roman" w:hAnsi="Times New Roman"/>
                <w:sz w:val="16"/>
              </w:rPr>
              <w:t>Clinical generalization guarantee</w:t>
            </w:r>
          </w:p>
        </w:tc>
      </w:tr>
    </w:tbl>
    <w:p>
      <w:pPr>
        <w:spacing w:before="40" w:after="120"/>
      </w:pPr>
    </w:p>
    <w:p>
      <w:pPr>
        <w:keepNext/>
        <w:spacing w:before="200" w:after="80"/>
        <w:jc w:val="center"/>
      </w:pPr>
      <w:r>
        <w:rPr>
          <w:rFonts w:ascii="Times New Roman" w:hAnsi="Times New Roman"/>
          <w:b/>
          <w:sz w:val="20"/>
        </w:rPr>
        <w:t>V. EVALUATION METHODOLOGY</w:t>
      </w:r>
    </w:p>
    <w:p>
      <w:pPr>
        <w:keepNext/>
        <w:spacing w:before="140" w:after="60"/>
        <w:jc w:val="left"/>
      </w:pPr>
      <w:r>
        <w:rPr>
          <w:rFonts w:ascii="Times New Roman" w:hAnsi="Times New Roman"/>
          <w:i/>
          <w:sz w:val="20"/>
        </w:rPr>
        <w:t>A. Tasks and Clinical Vitals Datasets</w:t>
      </w:r>
    </w:p>
    <w:p>
      <w:pPr>
        <w:spacing w:before="0" w:after="80" w:line="252" w:lineRule="auto"/>
        <w:jc w:val="both"/>
      </w:pPr>
      <w:r>
        <w:rPr>
          <w:rFonts w:ascii="Times New Roman" w:hAnsi="Times New Roman"/>
          <w:sz w:val="19"/>
        </w:rPr>
        <w:t>The evaluation framework assesses multi-class clinical triage and patient severity prediction across five simulated smart hospital institutions: (1) Hospital A (Metropolitan General); (2) Hospital B (Regional Trauma Center); (3) Hospital C (University Medical Research); (4) Hospital D (Pediatric &amp; Maternity); and (5) Hospital E (Geriatric &amp; Chronic Care). Each patient profile comprises physiological vital signs (Age, HR, SpO2, Systolic/Diastolic BP, Glucose, WBC, Creatinine) mapped to four clinical severity tiers: Stable, Moderate, Severe, and Critical.</w:t>
      </w:r>
    </w:p>
    <w:p>
      <w:pPr>
        <w:keepNext/>
        <w:spacing w:before="140" w:after="60"/>
        <w:jc w:val="left"/>
      </w:pPr>
      <w:r>
        <w:rPr>
          <w:rFonts w:ascii="Times New Roman" w:hAnsi="Times New Roman"/>
          <w:i/>
          <w:sz w:val="20"/>
        </w:rPr>
        <w:t>B. Six Benchmark Stress Scenarios</w:t>
      </w:r>
    </w:p>
    <w:p>
      <w:pPr>
        <w:spacing w:before="0" w:after="80" w:line="252" w:lineRule="auto"/>
        <w:jc w:val="both"/>
      </w:pPr>
      <w:r>
        <w:rPr>
          <w:rFonts w:ascii="Times New Roman" w:hAnsi="Times New Roman"/>
          <w:sz w:val="19"/>
        </w:rPr>
        <w:t>To systematically evaluate resilience, ATA-FL is evaluated under six demanding operational conditions:</w:t>
      </w:r>
    </w:p>
    <w:p>
      <w:pPr>
        <w:pStyle w:val="ListBullet"/>
        <w:spacing w:before="0" w:after="40" w:line="252" w:lineRule="auto"/>
        <w:jc w:val="both"/>
      </w:pPr>
      <w:r>
        <w:rPr>
          <w:rFonts w:ascii="Times New Roman" w:hAnsi="Times New Roman"/>
          <w:b/>
          <w:sz w:val="19"/>
        </w:rPr>
        <w:t xml:space="preserve">• Scenario 1 (Clean Participation, Baseline IID): </w:t>
      </w:r>
      <w:r>
        <w:rPr>
          <w:rFonts w:ascii="Times New Roman" w:hAnsi="Times New Roman"/>
          <w:sz w:val="19"/>
        </w:rPr>
        <w:t>All five hospitals maintain IID clinical records with nominal latency (&lt; 50 ms) and zero client dropouts.</w:t>
      </w:r>
    </w:p>
    <w:p>
      <w:pPr>
        <w:pStyle w:val="ListBullet"/>
        <w:spacing w:before="0" w:after="40" w:line="252" w:lineRule="auto"/>
        <w:jc w:val="both"/>
      </w:pPr>
      <w:r>
        <w:rPr>
          <w:rFonts w:ascii="Times New Roman" w:hAnsi="Times New Roman"/>
          <w:b/>
          <w:sz w:val="19"/>
        </w:rPr>
        <w:t xml:space="preserve">• Scenario 2 (Mild Non-IID Data): </w:t>
      </w:r>
      <w:r>
        <w:rPr>
          <w:rFonts w:ascii="Times New Roman" w:hAnsi="Times New Roman"/>
          <w:sz w:val="19"/>
        </w:rPr>
        <w:t>Demographic and covariate shift between regional hospital patient pools.</w:t>
      </w:r>
    </w:p>
    <w:p>
      <w:pPr>
        <w:pStyle w:val="ListBullet"/>
        <w:spacing w:before="0" w:after="40" w:line="252" w:lineRule="auto"/>
        <w:jc w:val="both"/>
      </w:pPr>
      <w:r>
        <w:rPr>
          <w:rFonts w:ascii="Times New Roman" w:hAnsi="Times New Roman"/>
          <w:b/>
          <w:sz w:val="19"/>
        </w:rPr>
        <w:t xml:space="preserve">• Scenario 3 (Severe Non-IID Data): </w:t>
      </w:r>
      <w:r>
        <w:rPr>
          <w:rFonts w:ascii="Times New Roman" w:hAnsi="Times New Roman"/>
          <w:sz w:val="19"/>
        </w:rPr>
        <w:t>Drastic label skew reflecting clinical specialization.</w:t>
      </w:r>
    </w:p>
    <w:p>
      <w:pPr>
        <w:pStyle w:val="ListBullet"/>
        <w:spacing w:before="0" w:after="40" w:line="252" w:lineRule="auto"/>
        <w:jc w:val="both"/>
      </w:pPr>
      <w:r>
        <w:rPr>
          <w:rFonts w:ascii="Times New Roman" w:hAnsi="Times New Roman"/>
          <w:b/>
          <w:sz w:val="19"/>
        </w:rPr>
        <w:t xml:space="preserve">• Scenario 4 (Random Hospital Dropout): </w:t>
      </w:r>
      <w:r>
        <w:rPr>
          <w:rFonts w:ascii="Times New Roman" w:hAnsi="Times New Roman"/>
          <w:sz w:val="19"/>
        </w:rPr>
        <w:t>30% random client disconnection probability (p_drop = 0.30) per round.</w:t>
      </w:r>
    </w:p>
    <w:p>
      <w:pPr>
        <w:pStyle w:val="ListBullet"/>
        <w:spacing w:before="0" w:after="40" w:line="252" w:lineRule="auto"/>
        <w:jc w:val="both"/>
      </w:pPr>
      <w:r>
        <w:rPr>
          <w:rFonts w:ascii="Times New Roman" w:hAnsi="Times New Roman"/>
          <w:b/>
          <w:sz w:val="19"/>
        </w:rPr>
        <w:t xml:space="preserve">• Scenario 5 (Persistent Communication Failures): </w:t>
      </w:r>
      <w:r>
        <w:rPr>
          <w:rFonts w:ascii="Times New Roman" w:hAnsi="Times New Roman"/>
          <w:sz w:val="19"/>
        </w:rPr>
        <w:t>Sustained network degradation with round latencies exceeding 120 ms and packet loss.</w:t>
      </w:r>
    </w:p>
    <w:p>
      <w:pPr>
        <w:pStyle w:val="ListBullet"/>
        <w:spacing w:before="0" w:after="40" w:line="252" w:lineRule="auto"/>
        <w:jc w:val="both"/>
      </w:pPr>
      <w:r>
        <w:rPr>
          <w:rFonts w:ascii="Times New Roman" w:hAnsi="Times New Roman"/>
          <w:b/>
          <w:sz w:val="19"/>
        </w:rPr>
        <w:t xml:space="preserve">• Scenario 6 (Noisy / Byzantine Client Updates): </w:t>
      </w:r>
      <w:r>
        <w:rPr>
          <w:rFonts w:ascii="Times New Roman" w:hAnsi="Times New Roman"/>
          <w:sz w:val="19"/>
        </w:rPr>
        <w:t>Corrupted gradient updates injected by miscalibrated or compromised hospital nodes.</w:t>
      </w:r>
    </w:p>
    <w:p>
      <w:pPr>
        <w:keepNext/>
        <w:spacing w:before="140" w:after="60"/>
        <w:jc w:val="left"/>
      </w:pPr>
      <w:r>
        <w:rPr>
          <w:rFonts w:ascii="Times New Roman" w:hAnsi="Times New Roman"/>
          <w:i/>
          <w:sz w:val="20"/>
        </w:rPr>
        <w:t>C. Matched Baselines</w:t>
      </w:r>
    </w:p>
    <w:p>
      <w:pPr>
        <w:spacing w:before="0" w:after="80" w:line="252" w:lineRule="auto"/>
        <w:jc w:val="both"/>
      </w:pPr>
      <w:r>
        <w:rPr>
          <w:rFonts w:ascii="Times New Roman" w:hAnsi="Times New Roman"/>
          <w:sz w:val="19"/>
        </w:rPr>
        <w:t>ATA-FL is benchmarked against established distributed learning strategies: (1) Standard FedAvg [1]; (2) Static Equal Weighting; (3) Coordinate-wise Median Aggregation [12]; (4) Trimmed Mean Aggregation; (5) ATA-FL without Trust Scoring (Ablation); and (6) Full ATA-FL (Proposed).</w:t>
      </w:r>
    </w:p>
    <w:p>
      <w:pPr>
        <w:keepNext/>
        <w:spacing w:before="160" w:after="60"/>
        <w:jc w:val="center"/>
      </w:pPr>
      <w:r>
        <w:rPr>
          <w:rFonts w:ascii="Times New Roman" w:hAnsi="Times New Roman"/>
          <w:b/>
          <w:sz w:val="17"/>
        </w:rPr>
        <w:t>TABLE II. PERFORMANCE COMPARISON ACROSS SIX STRESS BENCHMARK SCENARIOS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shd w:fill="E8EEF5"/>
          </w:tcPr>
          <w:p>
            <w:pPr>
              <w:spacing w:before="40" w:after="40"/>
              <w:jc w:val="center"/>
            </w:pPr>
            <w:r>
              <w:rPr>
                <w:rFonts w:ascii="Times New Roman" w:hAnsi="Times New Roman"/>
                <w:b/>
                <w:sz w:val="16"/>
              </w:rPr>
              <w:t>Scenario Configuration</w:t>
            </w:r>
          </w:p>
        </w:tc>
        <w:tc>
          <w:tcPr>
            <w:tcW w:type="dxa" w:w="2088"/>
            <w:shd w:fill="E8EEF5"/>
          </w:tcPr>
          <w:p>
            <w:pPr>
              <w:spacing w:before="40" w:after="40"/>
              <w:jc w:val="center"/>
            </w:pPr>
            <w:r>
              <w:rPr>
                <w:rFonts w:ascii="Times New Roman" w:hAnsi="Times New Roman"/>
                <w:b/>
                <w:sz w:val="16"/>
              </w:rPr>
              <w:t>FedAvg [1]</w:t>
            </w:r>
          </w:p>
        </w:tc>
        <w:tc>
          <w:tcPr>
            <w:tcW w:type="dxa" w:w="2088"/>
            <w:shd w:fill="E8EEF5"/>
          </w:tcPr>
          <w:p>
            <w:pPr>
              <w:spacing w:before="40" w:after="40"/>
              <w:jc w:val="center"/>
            </w:pPr>
            <w:r>
              <w:rPr>
                <w:rFonts w:ascii="Times New Roman" w:hAnsi="Times New Roman"/>
                <w:b/>
                <w:sz w:val="16"/>
              </w:rPr>
              <w:t>Median [12]</w:t>
            </w:r>
          </w:p>
        </w:tc>
        <w:tc>
          <w:tcPr>
            <w:tcW w:type="dxa" w:w="2088"/>
            <w:shd w:fill="E8EEF5"/>
          </w:tcPr>
          <w:p>
            <w:pPr>
              <w:spacing w:before="40" w:after="40"/>
              <w:jc w:val="center"/>
            </w:pPr>
            <w:r>
              <w:rPr>
                <w:rFonts w:ascii="Times New Roman" w:hAnsi="Times New Roman"/>
                <w:b/>
                <w:sz w:val="16"/>
              </w:rPr>
              <w:t>ATA-FL (No Trust)</w:t>
            </w:r>
          </w:p>
        </w:tc>
        <w:tc>
          <w:tcPr>
            <w:tcW w:type="dxa" w:w="2088"/>
            <w:shd w:fill="E8EEF5"/>
          </w:tcPr>
          <w:p>
            <w:pPr>
              <w:spacing w:before="40" w:after="40"/>
              <w:jc w:val="center"/>
            </w:pPr>
            <w:r>
              <w:rPr>
                <w:rFonts w:ascii="Times New Roman" w:hAnsi="Times New Roman"/>
                <w:b/>
                <w:sz w:val="16"/>
              </w:rPr>
              <w:t>Full ATA-FL (Proposed)</w:t>
            </w:r>
          </w:p>
        </w:tc>
      </w:tr>
      <w:tr>
        <w:tc>
          <w:tcPr>
            <w:tcW w:type="dxa" w:w="2088"/>
          </w:tcPr>
          <w:p>
            <w:pPr>
              <w:spacing w:before="20" w:after="20"/>
              <w:jc w:val="left"/>
            </w:pPr>
            <w:r>
              <w:rPr>
                <w:rFonts w:ascii="Times New Roman" w:hAnsi="Times New Roman"/>
                <w:sz w:val="16"/>
              </w:rPr>
              <w:t>1. Clean IID Baseline</w:t>
            </w:r>
          </w:p>
        </w:tc>
        <w:tc>
          <w:tcPr>
            <w:tcW w:type="dxa" w:w="2088"/>
          </w:tcPr>
          <w:p>
            <w:pPr>
              <w:spacing w:before="20" w:after="20"/>
              <w:jc w:val="center"/>
            </w:pPr>
            <w:r>
              <w:rPr>
                <w:rFonts w:ascii="Times New Roman" w:hAnsi="Times New Roman"/>
                <w:sz w:val="16"/>
              </w:rPr>
              <w:t>91.4% / 0.28</w:t>
            </w:r>
          </w:p>
        </w:tc>
        <w:tc>
          <w:tcPr>
            <w:tcW w:type="dxa" w:w="2088"/>
          </w:tcPr>
          <w:p>
            <w:pPr>
              <w:spacing w:before="20" w:after="20"/>
              <w:jc w:val="center"/>
            </w:pPr>
            <w:r>
              <w:rPr>
                <w:rFonts w:ascii="Times New Roman" w:hAnsi="Times New Roman"/>
                <w:sz w:val="16"/>
              </w:rPr>
              <w:t>89.8% / 0.32</w:t>
            </w:r>
          </w:p>
        </w:tc>
        <w:tc>
          <w:tcPr>
            <w:tcW w:type="dxa" w:w="2088"/>
          </w:tcPr>
          <w:p>
            <w:pPr>
              <w:spacing w:before="20" w:after="20"/>
              <w:jc w:val="center"/>
            </w:pPr>
            <w:r>
              <w:rPr>
                <w:rFonts w:ascii="Times New Roman" w:hAnsi="Times New Roman"/>
                <w:sz w:val="16"/>
              </w:rPr>
              <w:t>91.2% / 0.29</w:t>
            </w:r>
          </w:p>
        </w:tc>
        <w:tc>
          <w:tcPr>
            <w:tcW w:type="dxa" w:w="2088"/>
          </w:tcPr>
          <w:p>
            <w:pPr>
              <w:spacing w:before="20" w:after="20"/>
              <w:jc w:val="center"/>
            </w:pPr>
            <w:r>
              <w:rPr>
                <w:rFonts w:ascii="Times New Roman" w:hAnsi="Times New Roman"/>
                <w:sz w:val="16"/>
              </w:rPr>
              <w:t>92.8% / 0.24</w:t>
            </w:r>
          </w:p>
        </w:tc>
      </w:tr>
      <w:tr>
        <w:tc>
          <w:tcPr>
            <w:tcW w:type="dxa" w:w="2088"/>
          </w:tcPr>
          <w:p>
            <w:pPr>
              <w:spacing w:before="20" w:after="20"/>
              <w:jc w:val="left"/>
            </w:pPr>
            <w:r>
              <w:rPr>
                <w:rFonts w:ascii="Times New Roman" w:hAnsi="Times New Roman"/>
                <w:sz w:val="16"/>
              </w:rPr>
              <w:t>2. Mild Non-IID Shift</w:t>
            </w:r>
          </w:p>
        </w:tc>
        <w:tc>
          <w:tcPr>
            <w:tcW w:type="dxa" w:w="2088"/>
          </w:tcPr>
          <w:p>
            <w:pPr>
              <w:spacing w:before="20" w:after="20"/>
              <w:jc w:val="center"/>
            </w:pPr>
            <w:r>
              <w:rPr>
                <w:rFonts w:ascii="Times New Roman" w:hAnsi="Times New Roman"/>
                <w:sz w:val="16"/>
              </w:rPr>
              <w:t>84.2% / 0.45</w:t>
            </w:r>
          </w:p>
        </w:tc>
        <w:tc>
          <w:tcPr>
            <w:tcW w:type="dxa" w:w="2088"/>
          </w:tcPr>
          <w:p>
            <w:pPr>
              <w:spacing w:before="20" w:after="20"/>
              <w:jc w:val="center"/>
            </w:pPr>
            <w:r>
              <w:rPr>
                <w:rFonts w:ascii="Times New Roman" w:hAnsi="Times New Roman"/>
                <w:sz w:val="16"/>
              </w:rPr>
              <w:t>83.1% / 0.49</w:t>
            </w:r>
          </w:p>
        </w:tc>
        <w:tc>
          <w:tcPr>
            <w:tcW w:type="dxa" w:w="2088"/>
          </w:tcPr>
          <w:p>
            <w:pPr>
              <w:spacing w:before="20" w:after="20"/>
              <w:jc w:val="center"/>
            </w:pPr>
            <w:r>
              <w:rPr>
                <w:rFonts w:ascii="Times New Roman" w:hAnsi="Times New Roman"/>
                <w:sz w:val="16"/>
              </w:rPr>
              <w:t>84.0% / 0.46</w:t>
            </w:r>
          </w:p>
        </w:tc>
        <w:tc>
          <w:tcPr>
            <w:tcW w:type="dxa" w:w="2088"/>
          </w:tcPr>
          <w:p>
            <w:pPr>
              <w:spacing w:before="20" w:after="20"/>
              <w:jc w:val="center"/>
            </w:pPr>
            <w:r>
              <w:rPr>
                <w:rFonts w:ascii="Times New Roman" w:hAnsi="Times New Roman"/>
                <w:sz w:val="16"/>
              </w:rPr>
              <w:t>89.5% / 0.31</w:t>
            </w:r>
          </w:p>
        </w:tc>
      </w:tr>
      <w:tr>
        <w:tc>
          <w:tcPr>
            <w:tcW w:type="dxa" w:w="2088"/>
          </w:tcPr>
          <w:p>
            <w:pPr>
              <w:spacing w:before="20" w:after="20"/>
              <w:jc w:val="left"/>
            </w:pPr>
            <w:r>
              <w:rPr>
                <w:rFonts w:ascii="Times New Roman" w:hAnsi="Times New Roman"/>
                <w:sz w:val="16"/>
              </w:rPr>
              <w:t>3. Severe Non-IID Skew</w:t>
            </w:r>
          </w:p>
        </w:tc>
        <w:tc>
          <w:tcPr>
            <w:tcW w:type="dxa" w:w="2088"/>
          </w:tcPr>
          <w:p>
            <w:pPr>
              <w:spacing w:before="20" w:after="20"/>
              <w:jc w:val="center"/>
            </w:pPr>
            <w:r>
              <w:rPr>
                <w:rFonts w:ascii="Times New Roman" w:hAnsi="Times New Roman"/>
                <w:sz w:val="16"/>
              </w:rPr>
              <w:t>76.8% / 0.68</w:t>
            </w:r>
          </w:p>
        </w:tc>
        <w:tc>
          <w:tcPr>
            <w:tcW w:type="dxa" w:w="2088"/>
          </w:tcPr>
          <w:p>
            <w:pPr>
              <w:spacing w:before="20" w:after="20"/>
              <w:jc w:val="center"/>
            </w:pPr>
            <w:r>
              <w:rPr>
                <w:rFonts w:ascii="Times New Roman" w:hAnsi="Times New Roman"/>
                <w:sz w:val="16"/>
              </w:rPr>
              <w:t>75.4% / 0.72</w:t>
            </w:r>
          </w:p>
        </w:tc>
        <w:tc>
          <w:tcPr>
            <w:tcW w:type="dxa" w:w="2088"/>
          </w:tcPr>
          <w:p>
            <w:pPr>
              <w:spacing w:before="20" w:after="20"/>
              <w:jc w:val="center"/>
            </w:pPr>
            <w:r>
              <w:rPr>
                <w:rFonts w:ascii="Times New Roman" w:hAnsi="Times New Roman"/>
                <w:sz w:val="16"/>
              </w:rPr>
              <w:t>76.5% / 0.69</w:t>
            </w:r>
          </w:p>
        </w:tc>
        <w:tc>
          <w:tcPr>
            <w:tcW w:type="dxa" w:w="2088"/>
          </w:tcPr>
          <w:p>
            <w:pPr>
              <w:spacing w:before="20" w:after="20"/>
              <w:jc w:val="center"/>
            </w:pPr>
            <w:r>
              <w:rPr>
                <w:rFonts w:ascii="Times New Roman" w:hAnsi="Times New Roman"/>
                <w:sz w:val="16"/>
              </w:rPr>
              <w:t>86.7% / 0.38</w:t>
            </w:r>
          </w:p>
        </w:tc>
      </w:tr>
      <w:tr>
        <w:tc>
          <w:tcPr>
            <w:tcW w:type="dxa" w:w="2088"/>
          </w:tcPr>
          <w:p>
            <w:pPr>
              <w:spacing w:before="20" w:after="20"/>
              <w:jc w:val="left"/>
            </w:pPr>
            <w:r>
              <w:rPr>
                <w:rFonts w:ascii="Times New Roman" w:hAnsi="Times New Roman"/>
                <w:sz w:val="16"/>
              </w:rPr>
              <w:t>4. 30% Random Dropout</w:t>
            </w:r>
          </w:p>
        </w:tc>
        <w:tc>
          <w:tcPr>
            <w:tcW w:type="dxa" w:w="2088"/>
          </w:tcPr>
          <w:p>
            <w:pPr>
              <w:spacing w:before="20" w:after="20"/>
              <w:jc w:val="center"/>
            </w:pPr>
            <w:r>
              <w:rPr>
                <w:rFonts w:ascii="Times New Roman" w:hAnsi="Times New Roman"/>
                <w:sz w:val="16"/>
              </w:rPr>
              <w:t>81.0% / 0.54</w:t>
            </w:r>
          </w:p>
        </w:tc>
        <w:tc>
          <w:tcPr>
            <w:tcW w:type="dxa" w:w="2088"/>
          </w:tcPr>
          <w:p>
            <w:pPr>
              <w:spacing w:before="20" w:after="20"/>
              <w:jc w:val="center"/>
            </w:pPr>
            <w:r>
              <w:rPr>
                <w:rFonts w:ascii="Times New Roman" w:hAnsi="Times New Roman"/>
                <w:sz w:val="16"/>
              </w:rPr>
              <w:t>79.5% / 0.58</w:t>
            </w:r>
          </w:p>
        </w:tc>
        <w:tc>
          <w:tcPr>
            <w:tcW w:type="dxa" w:w="2088"/>
          </w:tcPr>
          <w:p>
            <w:pPr>
              <w:spacing w:before="20" w:after="20"/>
              <w:jc w:val="center"/>
            </w:pPr>
            <w:r>
              <w:rPr>
                <w:rFonts w:ascii="Times New Roman" w:hAnsi="Times New Roman"/>
                <w:sz w:val="16"/>
              </w:rPr>
              <w:t>80.8% / 0.55</w:t>
            </w:r>
          </w:p>
        </w:tc>
        <w:tc>
          <w:tcPr>
            <w:tcW w:type="dxa" w:w="2088"/>
          </w:tcPr>
          <w:p>
            <w:pPr>
              <w:spacing w:before="20" w:after="20"/>
              <w:jc w:val="center"/>
            </w:pPr>
            <w:r>
              <w:rPr>
                <w:rFonts w:ascii="Times New Roman" w:hAnsi="Times New Roman"/>
                <w:sz w:val="16"/>
              </w:rPr>
              <w:t>88.2% / 0.34</w:t>
            </w:r>
          </w:p>
        </w:tc>
      </w:tr>
      <w:tr>
        <w:tc>
          <w:tcPr>
            <w:tcW w:type="dxa" w:w="2088"/>
          </w:tcPr>
          <w:p>
            <w:pPr>
              <w:spacing w:before="20" w:after="20"/>
              <w:jc w:val="left"/>
            </w:pPr>
            <w:r>
              <w:rPr>
                <w:rFonts w:ascii="Times New Roman" w:hAnsi="Times New Roman"/>
                <w:sz w:val="16"/>
              </w:rPr>
              <w:t>5. Communication Bottleneck</w:t>
            </w:r>
          </w:p>
        </w:tc>
        <w:tc>
          <w:tcPr>
            <w:tcW w:type="dxa" w:w="2088"/>
          </w:tcPr>
          <w:p>
            <w:pPr>
              <w:spacing w:before="20" w:after="20"/>
              <w:jc w:val="center"/>
            </w:pPr>
            <w:r>
              <w:rPr>
                <w:rFonts w:ascii="Times New Roman" w:hAnsi="Times New Roman"/>
                <w:sz w:val="16"/>
              </w:rPr>
              <w:t>79.3% / 0.61</w:t>
            </w:r>
          </w:p>
        </w:tc>
        <w:tc>
          <w:tcPr>
            <w:tcW w:type="dxa" w:w="2088"/>
          </w:tcPr>
          <w:p>
            <w:pPr>
              <w:spacing w:before="20" w:after="20"/>
              <w:jc w:val="center"/>
            </w:pPr>
            <w:r>
              <w:rPr>
                <w:rFonts w:ascii="Times New Roman" w:hAnsi="Times New Roman"/>
                <w:sz w:val="16"/>
              </w:rPr>
              <w:t>78.0% / 0.64</w:t>
            </w:r>
          </w:p>
        </w:tc>
        <w:tc>
          <w:tcPr>
            <w:tcW w:type="dxa" w:w="2088"/>
          </w:tcPr>
          <w:p>
            <w:pPr>
              <w:spacing w:before="20" w:after="20"/>
              <w:jc w:val="center"/>
            </w:pPr>
            <w:r>
              <w:rPr>
                <w:rFonts w:ascii="Times New Roman" w:hAnsi="Times New Roman"/>
                <w:sz w:val="16"/>
              </w:rPr>
              <w:t>79.1% / 0.62</w:t>
            </w:r>
          </w:p>
        </w:tc>
        <w:tc>
          <w:tcPr>
            <w:tcW w:type="dxa" w:w="2088"/>
          </w:tcPr>
          <w:p>
            <w:pPr>
              <w:spacing w:before="20" w:after="20"/>
              <w:jc w:val="center"/>
            </w:pPr>
            <w:r>
              <w:rPr>
                <w:rFonts w:ascii="Times New Roman" w:hAnsi="Times New Roman"/>
                <w:sz w:val="16"/>
              </w:rPr>
              <w:t>87.4% / 0.36</w:t>
            </w:r>
          </w:p>
        </w:tc>
      </w:tr>
      <w:tr>
        <w:tc>
          <w:tcPr>
            <w:tcW w:type="dxa" w:w="2088"/>
          </w:tcPr>
          <w:p>
            <w:pPr>
              <w:spacing w:before="20" w:after="20"/>
              <w:jc w:val="left"/>
            </w:pPr>
            <w:r>
              <w:rPr>
                <w:rFonts w:ascii="Times New Roman" w:hAnsi="Times New Roman"/>
                <w:sz w:val="16"/>
              </w:rPr>
              <w:t>6. Byzantine Noisy Updates</w:t>
            </w:r>
          </w:p>
        </w:tc>
        <w:tc>
          <w:tcPr>
            <w:tcW w:type="dxa" w:w="2088"/>
          </w:tcPr>
          <w:p>
            <w:pPr>
              <w:spacing w:before="20" w:after="20"/>
              <w:jc w:val="center"/>
            </w:pPr>
            <w:r>
              <w:rPr>
                <w:rFonts w:ascii="Times New Roman" w:hAnsi="Times New Roman"/>
                <w:sz w:val="16"/>
              </w:rPr>
              <w:t>52.6% / 1.42</w:t>
            </w:r>
          </w:p>
        </w:tc>
        <w:tc>
          <w:tcPr>
            <w:tcW w:type="dxa" w:w="2088"/>
          </w:tcPr>
          <w:p>
            <w:pPr>
              <w:spacing w:before="20" w:after="20"/>
              <w:jc w:val="center"/>
            </w:pPr>
            <w:r>
              <w:rPr>
                <w:rFonts w:ascii="Times New Roman" w:hAnsi="Times New Roman"/>
                <w:sz w:val="16"/>
              </w:rPr>
              <w:t>71.2% / 0.81</w:t>
            </w:r>
          </w:p>
        </w:tc>
        <w:tc>
          <w:tcPr>
            <w:tcW w:type="dxa" w:w="2088"/>
          </w:tcPr>
          <w:p>
            <w:pPr>
              <w:spacing w:before="20" w:after="20"/>
              <w:jc w:val="center"/>
            </w:pPr>
            <w:r>
              <w:rPr>
                <w:rFonts w:ascii="Times New Roman" w:hAnsi="Times New Roman"/>
                <w:sz w:val="16"/>
              </w:rPr>
              <w:t>53.1% / 1.39</w:t>
            </w:r>
          </w:p>
        </w:tc>
        <w:tc>
          <w:tcPr>
            <w:tcW w:type="dxa" w:w="2088"/>
          </w:tcPr>
          <w:p>
            <w:pPr>
              <w:spacing w:before="20" w:after="20"/>
              <w:jc w:val="center"/>
            </w:pPr>
            <w:r>
              <w:rPr>
                <w:rFonts w:ascii="Times New Roman" w:hAnsi="Times New Roman"/>
                <w:sz w:val="16"/>
              </w:rPr>
              <w:t>85.9% / 0.39</w:t>
            </w:r>
          </w:p>
        </w:tc>
      </w:tr>
    </w:tbl>
    <w:p>
      <w:pPr>
        <w:spacing w:before="40" w:after="120"/>
      </w:pPr>
    </w:p>
    <w:p>
      <w:pPr>
        <w:keepNext/>
        <w:spacing w:before="140" w:after="60"/>
        <w:jc w:val="left"/>
      </w:pPr>
      <w:r>
        <w:rPr>
          <w:rFonts w:ascii="Times New Roman" w:hAnsi="Times New Roman"/>
          <w:i/>
          <w:sz w:val="20"/>
        </w:rPr>
        <w:t>D. Quantitative Evaluation Metrics</w:t>
      </w:r>
    </w:p>
    <w:p>
      <w:pPr>
        <w:spacing w:before="0" w:after="80" w:line="252" w:lineRule="auto"/>
        <w:jc w:val="both"/>
      </w:pPr>
      <w:r>
        <w:rPr>
          <w:rFonts w:ascii="Times New Roman" w:hAnsi="Times New Roman"/>
          <w:sz w:val="19"/>
        </w:rPr>
        <w:t>Global diagnostic accuracy and cross-entropy loss convergence are measured across 20 federated rounds. SMPC reconstruction precision confirms that the numerical residual error satisfies epsilon = ||w_agg - w_direct||_2 &lt; 10^-4. Round execution latency averages 0.18s on commodity server hardware.</w:t>
      </w:r>
    </w:p>
    <w:p>
      <w:pPr>
        <w:keepNext/>
        <w:spacing w:before="140" w:after="60"/>
        <w:jc w:val="left"/>
      </w:pPr>
      <w:r>
        <w:rPr>
          <w:rFonts w:ascii="Times New Roman" w:hAnsi="Times New Roman"/>
          <w:i/>
          <w:sz w:val="20"/>
        </w:rPr>
        <w:t>E. Ablation and Sensitivity Analysis</w:t>
      </w:r>
    </w:p>
    <w:p>
      <w:pPr>
        <w:spacing w:before="0" w:after="80" w:line="252" w:lineRule="auto"/>
        <w:jc w:val="both"/>
      </w:pPr>
      <w:r>
        <w:rPr>
          <w:rFonts w:ascii="Times New Roman" w:hAnsi="Times New Roman"/>
          <w:sz w:val="19"/>
        </w:rPr>
        <w:t>Systematic ablations isolate: (1) memory smoothing parameter lambda in {0.50, 0.70, 0.90, 0.95}, where lambda = 0.90 delivers the optimal trade-off between transient latency smoothing and prompt Byzantine isolation; (2) secret sharing threshold k in {2, 3, 4, 5} for n = 5 nodes, confirming that k=3 tolerates up to two simultaneous dropouts; and (3) trust component weight permutations {w_U, w_P, w_C, w_V}.</w:t>
      </w:r>
    </w:p>
    <w:p>
      <w:pPr>
        <w:keepNext/>
        <w:spacing w:before="140" w:after="60"/>
        <w:jc w:val="left"/>
      </w:pPr>
      <w:r>
        <w:rPr>
          <w:rFonts w:ascii="Times New Roman" w:hAnsi="Times New Roman"/>
          <w:i/>
          <w:sz w:val="20"/>
        </w:rPr>
        <w:t>F. Reproducibility and Automated Test Suite Validation</w:t>
      </w:r>
    </w:p>
    <w:p>
      <w:pPr>
        <w:spacing w:before="0" w:after="80" w:line="252" w:lineRule="auto"/>
        <w:jc w:val="both"/>
      </w:pPr>
      <w:r>
        <w:rPr>
          <w:rFonts w:ascii="Times New Roman" w:hAnsi="Times New Roman"/>
          <w:sz w:val="19"/>
        </w:rPr>
        <w:t>All components are validated via an automated test suite (pytest tests/test_federated_system.py) verifying API heartbeats, trust bounds s(t) in [0, 1], exact normalization sum a(h) = 1.0, Lagrange reconstruction precision &lt; 10^-4, and zero raw patient data leakage.</w:t>
      </w:r>
    </w:p>
    <w:p>
      <w:pPr>
        <w:keepNext/>
        <w:spacing w:before="200" w:after="80"/>
        <w:jc w:val="center"/>
      </w:pPr>
      <w:r>
        <w:rPr>
          <w:rFonts w:ascii="Times New Roman" w:hAnsi="Times New Roman"/>
          <w:b/>
          <w:sz w:val="20"/>
        </w:rPr>
        <w:t>VI. LIMITATIONS AND DISCUSSION</w:t>
      </w:r>
    </w:p>
    <w:p>
      <w:pPr>
        <w:spacing w:before="0" w:after="80" w:line="252" w:lineRule="auto"/>
        <w:jc w:val="both"/>
      </w:pPr>
      <w:r>
        <w:rPr>
          <w:rFonts w:ascii="Times New Roman" w:hAnsi="Times New Roman"/>
          <w:sz w:val="19"/>
        </w:rPr>
        <w:t>While ATA-FL achieves robust privacy and fault tolerance, several practical engineering trade-offs warrant consideration:</w:t>
      </w:r>
    </w:p>
    <w:p>
      <w:pPr>
        <w:spacing w:before="0" w:after="40" w:line="252" w:lineRule="auto"/>
        <w:ind w:left="288" w:hanging="288"/>
        <w:jc w:val="both"/>
      </w:pPr>
      <w:r>
        <w:rPr>
          <w:rFonts w:ascii="Times New Roman" w:hAnsi="Times New Roman"/>
          <w:b/>
          <w:sz w:val="19"/>
        </w:rPr>
        <w:t xml:space="preserve">1) </w:t>
      </w:r>
      <w:r>
        <w:rPr>
          <w:rFonts w:ascii="Times New Roman" w:hAnsi="Times New Roman"/>
          <w:b/>
          <w:sz w:val="19"/>
        </w:rPr>
        <w:t xml:space="preserve">Communication and Computation Overhead of SMPC: </w:t>
      </w:r>
      <w:r>
        <w:rPr>
          <w:rFonts w:ascii="Times New Roman" w:hAnsi="Times New Roman"/>
          <w:sz w:val="19"/>
        </w:rPr>
        <w:t>Decomposing high-dimensional weight vectors into n polynomial shares increases bandwidth consumption relative to standard unencrypted gradient transmission. For large-scale convolutional or transformer backbones, share quantization and gradient sparsification become necessary to maintain network throughput.</w:t>
      </w:r>
    </w:p>
    <w:p>
      <w:pPr>
        <w:spacing w:before="0" w:after="40" w:line="252" w:lineRule="auto"/>
        <w:ind w:left="288" w:hanging="288"/>
        <w:jc w:val="both"/>
      </w:pPr>
      <w:r>
        <w:rPr>
          <w:rFonts w:ascii="Times New Roman" w:hAnsi="Times New Roman"/>
          <w:b/>
          <w:sz w:val="19"/>
        </w:rPr>
        <w:t xml:space="preserve">2) </w:t>
      </w:r>
      <w:r>
        <w:rPr>
          <w:rFonts w:ascii="Times New Roman" w:hAnsi="Times New Roman"/>
          <w:b/>
          <w:sz w:val="19"/>
        </w:rPr>
        <w:t xml:space="preserve">Cold-Start Trust Calibration: </w:t>
      </w:r>
      <w:r>
        <w:rPr>
          <w:rFonts w:ascii="Times New Roman" w:hAnsi="Times New Roman"/>
          <w:sz w:val="19"/>
        </w:rPr>
        <w:t>Newly enrolled hospitals initialize with neutral trust tau_0 = 0.50. In environments with high client turnover, cold-start periods require careful tuning to prevent initial under-weighting of legitimate clinical centers.</w:t>
      </w:r>
    </w:p>
    <w:p>
      <w:pPr>
        <w:spacing w:before="0" w:after="40" w:line="252" w:lineRule="auto"/>
        <w:ind w:left="288" w:hanging="288"/>
        <w:jc w:val="both"/>
      </w:pPr>
      <w:r>
        <w:rPr>
          <w:rFonts w:ascii="Times New Roman" w:hAnsi="Times New Roman"/>
          <w:b/>
          <w:sz w:val="19"/>
        </w:rPr>
        <w:t xml:space="preserve">3) </w:t>
      </w:r>
      <w:r>
        <w:rPr>
          <w:rFonts w:ascii="Times New Roman" w:hAnsi="Times New Roman"/>
          <w:b/>
          <w:sz w:val="19"/>
        </w:rPr>
        <w:t xml:space="preserve">Reference Validation Set Independence: </w:t>
      </w:r>
      <w:r>
        <w:rPr>
          <w:rFonts w:ascii="Times New Roman" w:hAnsi="Times New Roman"/>
          <w:sz w:val="19"/>
        </w:rPr>
        <w:t>Computing the validation contribution metric (V) requires the edge coordinator to maintain an anonymized reference validation benchmark. If this benchmark fails to capture rare disease modalities, validation score improvements may exhibit localized bias.</w:t>
      </w:r>
    </w:p>
    <w:p>
      <w:pPr>
        <w:spacing w:before="0" w:after="40" w:line="252" w:lineRule="auto"/>
        <w:ind w:left="288" w:hanging="288"/>
        <w:jc w:val="both"/>
      </w:pPr>
      <w:r>
        <w:rPr>
          <w:rFonts w:ascii="Times New Roman" w:hAnsi="Times New Roman"/>
          <w:b/>
          <w:sz w:val="19"/>
        </w:rPr>
        <w:t xml:space="preserve">4) </w:t>
      </w:r>
      <w:r>
        <w:rPr>
          <w:rFonts w:ascii="Times New Roman" w:hAnsi="Times New Roman"/>
          <w:b/>
          <w:sz w:val="19"/>
        </w:rPr>
        <w:t xml:space="preserve">Privacy-Utility Balance: </w:t>
      </w:r>
      <w:r>
        <w:rPr>
          <w:rFonts w:ascii="Times New Roman" w:hAnsi="Times New Roman"/>
          <w:sz w:val="19"/>
        </w:rPr>
        <w:t>While polynomial secret sharing prevents weight inversion attacks, differential privacy (DP) noise injection may still be required to guard against membership inference attacks on the aggregated model itself.</w:t>
      </w:r>
    </w:p>
    <w:p>
      <w:pPr>
        <w:keepNext/>
        <w:spacing w:before="200" w:after="80"/>
        <w:jc w:val="center"/>
      </w:pPr>
      <w:r>
        <w:rPr>
          <w:rFonts w:ascii="Times New Roman" w:hAnsi="Times New Roman"/>
          <w:b/>
          <w:sz w:val="20"/>
        </w:rPr>
        <w:t>VII. FUTURE WORK</w:t>
      </w:r>
    </w:p>
    <w:p>
      <w:pPr>
        <w:spacing w:before="0" w:after="80" w:line="252" w:lineRule="auto"/>
        <w:jc w:val="both"/>
      </w:pPr>
      <w:r>
        <w:rPr>
          <w:rFonts w:ascii="Times New Roman" w:hAnsi="Times New Roman"/>
          <w:sz w:val="19"/>
        </w:rPr>
        <w:t>Future implementations will extend the ATA-FL architecture along several dimensions:</w:t>
      </w:r>
    </w:p>
    <w:p>
      <w:pPr>
        <w:pStyle w:val="ListBullet"/>
        <w:spacing w:before="0" w:after="40" w:line="252" w:lineRule="auto"/>
        <w:jc w:val="both"/>
      </w:pPr>
      <w:r>
        <w:rPr>
          <w:rFonts w:ascii="Times New Roman" w:hAnsi="Times New Roman"/>
          <w:b/>
          <w:sz w:val="19"/>
        </w:rPr>
        <w:t xml:space="preserve">• Physical Multi-Datacenter Trials: </w:t>
      </w:r>
      <w:r>
        <w:rPr>
          <w:rFonts w:ascii="Times New Roman" w:hAnsi="Times New Roman"/>
          <w:sz w:val="19"/>
        </w:rPr>
        <w:t>Deploying client containers across geographically dispersed cloud instances to evaluate physical wide-area network latency and firewall traversal.</w:t>
      </w:r>
    </w:p>
    <w:p>
      <w:pPr>
        <w:pStyle w:val="ListBullet"/>
        <w:spacing w:before="0" w:after="40" w:line="252" w:lineRule="auto"/>
        <w:jc w:val="both"/>
      </w:pPr>
      <w:r>
        <w:rPr>
          <w:rFonts w:ascii="Times New Roman" w:hAnsi="Times New Roman"/>
          <w:b/>
          <w:sz w:val="19"/>
        </w:rPr>
        <w:t xml:space="preserve">• Asynchronous Secret Sharing: </w:t>
      </w:r>
      <w:r>
        <w:rPr>
          <w:rFonts w:ascii="Times New Roman" w:hAnsi="Times New Roman"/>
          <w:sz w:val="19"/>
        </w:rPr>
        <w:t>Developing asynchronous Lagrange interpolation protocols that permit continuous round progression without waiting for synchronized round barriers.</w:t>
      </w:r>
    </w:p>
    <w:p>
      <w:pPr>
        <w:pStyle w:val="ListBullet"/>
        <w:spacing w:before="0" w:after="40" w:line="252" w:lineRule="auto"/>
        <w:jc w:val="both"/>
      </w:pPr>
      <w:r>
        <w:rPr>
          <w:rFonts w:ascii="Times New Roman" w:hAnsi="Times New Roman"/>
          <w:b/>
          <w:sz w:val="19"/>
        </w:rPr>
        <w:t xml:space="preserve">• Zero-Knowledge Proofs (ZKP): </w:t>
      </w:r>
      <w:r>
        <w:rPr>
          <w:rFonts w:ascii="Times New Roman" w:hAnsi="Times New Roman"/>
          <w:sz w:val="19"/>
        </w:rPr>
        <w:t>Integrating non-interactive zero-knowledge proofs (zk-SNARKs) to verify that client polynomial evaluations are mathematically well-formed without disclosing share values.</w:t>
      </w:r>
    </w:p>
    <w:p>
      <w:pPr>
        <w:pStyle w:val="ListBullet"/>
        <w:spacing w:before="0" w:after="40" w:line="252" w:lineRule="auto"/>
        <w:jc w:val="both"/>
      </w:pPr>
      <w:r>
        <w:rPr>
          <w:rFonts w:ascii="Times New Roman" w:hAnsi="Times New Roman"/>
          <w:b/>
          <w:sz w:val="19"/>
        </w:rPr>
        <w:t xml:space="preserve">• Multimodal Clinical Architectures: </w:t>
      </w:r>
      <w:r>
        <w:rPr>
          <w:rFonts w:ascii="Times New Roman" w:hAnsi="Times New Roman"/>
          <w:sz w:val="19"/>
        </w:rPr>
        <w:t>Expanding the local neural network from tabular vital sign MLPs to multi-modal architectures processing electronic health records alongside 3D medical imaging (DICOM CT/MRI scans).</w:t>
      </w:r>
    </w:p>
    <w:p>
      <w:pPr>
        <w:keepNext/>
        <w:spacing w:before="200" w:after="80"/>
        <w:jc w:val="center"/>
      </w:pPr>
      <w:r>
        <w:rPr>
          <w:rFonts w:ascii="Times New Roman" w:hAnsi="Times New Roman"/>
          <w:b/>
          <w:sz w:val="20"/>
        </w:rPr>
        <w:t>VIII. CONCLUSION</w:t>
      </w:r>
    </w:p>
    <w:p>
      <w:pPr>
        <w:spacing w:before="0" w:after="80" w:line="252" w:lineRule="auto"/>
        <w:jc w:val="both"/>
      </w:pPr>
      <w:r>
        <w:rPr>
          <w:rFonts w:ascii="Times New Roman" w:hAnsi="Times New Roman"/>
          <w:sz w:val="19"/>
        </w:rPr>
        <w:t>This paper presented Adaptive Trust-Aware Federated Learning (ATA-FL), an implementation-oriented architecture designed to enable privacy-preserving collaborative healthcare AI across smart hospitals. By establishing an architectural trust boundary that unifies decentralized PyTorch local training, Shamir's (k, n) polynomial secret sharing, and a four-component adaptive trust telemetry engine, the framework overcomes the vulnerabilities of traditional FedAvg under non-IID clinical distributions, client dropouts, and gradient corruption. Cryptographic Lagrange reconstruction guarantees zero plaintext parameter exposure (&lt; 10^-4 residual), while exponential moving average trust memory ensures system stability without discarding unique epidemiological insights. ATA-FL offers a mathematically validated, regulation-compliant foundation for multi-institutional clinical collaboration.</w:t>
      </w:r>
    </w:p>
    <w:p>
      <w:pPr>
        <w:keepNext/>
        <w:spacing w:before="200" w:after="80"/>
        <w:jc w:val="center"/>
      </w:pPr>
      <w:r>
        <w:rPr>
          <w:rFonts w:ascii="Times New Roman" w:hAnsi="Times New Roman"/>
          <w:b/>
          <w:sz w:val="20"/>
        </w:rPr>
        <w:t>ACKNOWLEDGEMENTS</w:t>
      </w:r>
    </w:p>
    <w:p>
      <w:pPr>
        <w:spacing w:before="0" w:after="80" w:line="252" w:lineRule="auto"/>
        <w:jc w:val="both"/>
      </w:pPr>
      <w:r>
        <w:rPr>
          <w:rFonts w:ascii="Times New Roman" w:hAnsi="Times New Roman"/>
          <w:sz w:val="19"/>
        </w:rPr>
        <w:t>The authors thank their faculty guide, project supervisors, and the Department of Computer Science and Engineering for their continuous support, technical guidance, and infrastructure resources throughout the execution of this research.</w:t>
      </w:r>
    </w:p>
    <w:p>
      <w:pPr>
        <w:keepNext/>
        <w:spacing w:before="200" w:after="80"/>
        <w:jc w:val="center"/>
      </w:pPr>
      <w:r>
        <w:rPr>
          <w:rFonts w:ascii="Times New Roman" w:hAnsi="Times New Roman"/>
          <w:b/>
          <w:sz w:val="20"/>
        </w:rPr>
        <w:t>REFERENCES</w:t>
      </w:r>
    </w:p>
    <w:p>
      <w:pPr>
        <w:spacing w:before="0" w:after="40" w:line="240" w:lineRule="auto"/>
        <w:ind w:left="288" w:hanging="288"/>
        <w:jc w:val="both"/>
      </w:pPr>
      <w:r>
        <w:rPr>
          <w:rFonts w:ascii="Times New Roman" w:hAnsi="Times New Roman"/>
          <w:sz w:val="16"/>
        </w:rPr>
        <w:t>[1] H. B. McMahan, E. Moore, D. Ramage, S. Hampson, and B. A. y Arcas, "Communication-efficient learning of deep networks from decentralized data," in Proc. 20th Int. Conf. Artif. Intell. Statist. (AISTATS), vol. 54, 2017, pp. 1273–1282.</w:t>
      </w:r>
    </w:p>
    <w:p>
      <w:pPr>
        <w:spacing w:before="0" w:after="40" w:line="240" w:lineRule="auto"/>
        <w:ind w:left="288" w:hanging="288"/>
        <w:jc w:val="both"/>
      </w:pPr>
      <w:r>
        <w:rPr>
          <w:rFonts w:ascii="Times New Roman" w:hAnsi="Times New Roman"/>
          <w:sz w:val="16"/>
        </w:rPr>
        <w:t>[2] P. Kairouz et al., "Advances and open problems in federated learning," Foundations and Trends in Machine Learning, vol. 14, no. 1–2, pp. 1–210, 2021, doi: 10.1561/2200000083.</w:t>
      </w:r>
    </w:p>
    <w:p>
      <w:pPr>
        <w:spacing w:before="0" w:after="40" w:line="240" w:lineRule="auto"/>
        <w:ind w:left="288" w:hanging="288"/>
        <w:jc w:val="both"/>
      </w:pPr>
      <w:r>
        <w:rPr>
          <w:rFonts w:ascii="Times New Roman" w:hAnsi="Times New Roman"/>
          <w:sz w:val="16"/>
        </w:rPr>
        <w:t>[3] Q. Yang, Y. Liu, T. Chen, and Y. Tong, "Federated machine learning: Concept and applications," ACM Trans. Intell. Syst. Technol., vol. 10, no. 2, Art. no. 12, pp. 1–19, 2019, doi: 10.1145/3308558.</w:t>
      </w:r>
    </w:p>
    <w:p>
      <w:pPr>
        <w:spacing w:before="0" w:after="40" w:line="240" w:lineRule="auto"/>
        <w:ind w:left="288" w:hanging="288"/>
        <w:jc w:val="both"/>
      </w:pPr>
      <w:r>
        <w:rPr>
          <w:rFonts w:ascii="Times New Roman" w:hAnsi="Times New Roman"/>
          <w:sz w:val="16"/>
        </w:rPr>
        <w:t>[4] N. Rieke et al., "The future of digital health with federated learning," NPJ Digital Medicine, vol. 3, no. 1, Art. no. 119, pp. 1–7, 2020, doi: 10.1038/s41746-020-00323-1.</w:t>
      </w:r>
    </w:p>
    <w:p>
      <w:pPr>
        <w:spacing w:before="0" w:after="40" w:line="240" w:lineRule="auto"/>
        <w:ind w:left="288" w:hanging="288"/>
        <w:jc w:val="both"/>
      </w:pPr>
      <w:r>
        <w:rPr>
          <w:rFonts w:ascii="Times New Roman" w:hAnsi="Times New Roman"/>
          <w:sz w:val="16"/>
        </w:rPr>
        <w:t>[5] M. J. Sheller, B. Edwards, G. A. Reina, J. Martin, S. Pati, A. K. Kotrotsou, et al., "Federated learning in medicine: Facilitating multi-institutional collaborative training without sharing patient data," Scientific Reports, vol. 10, no. 1, Art. no. 12598, 2020, doi: 10.1038/s41598-020-69250-1.</w:t>
      </w:r>
    </w:p>
    <w:p>
      <w:pPr>
        <w:spacing w:before="0" w:after="40" w:line="240" w:lineRule="auto"/>
        <w:ind w:left="288" w:hanging="288"/>
        <w:jc w:val="both"/>
      </w:pPr>
      <w:r>
        <w:rPr>
          <w:rFonts w:ascii="Times New Roman" w:hAnsi="Times New Roman"/>
          <w:sz w:val="16"/>
        </w:rPr>
        <w:t>[6] G. A. Kaissis, M. R. Makowski, D. Rückert, and R. F. Braren, "A secure machine learning framework for privacy-preserving medical image analysis," Nature Machine Intelligence, vol. 2, no. 6, pp. 305–314, 2020, doi: 10.1038/s42256-020-0186-1.</w:t>
      </w:r>
    </w:p>
    <w:p>
      <w:pPr>
        <w:spacing w:before="0" w:after="40" w:line="240" w:lineRule="auto"/>
        <w:ind w:left="288" w:hanging="288"/>
        <w:jc w:val="both"/>
      </w:pPr>
      <w:r>
        <w:rPr>
          <w:rFonts w:ascii="Times New Roman" w:hAnsi="Times New Roman"/>
          <w:sz w:val="16"/>
        </w:rPr>
        <w:t>[7] A. Shamir, "How to share a secret," Communications of the ACM, vol. 22, no. 11, pp. 612–613, Nov. 1979, doi: 10.1145/359168.359176.</w:t>
      </w:r>
    </w:p>
    <w:p>
      <w:pPr>
        <w:spacing w:before="0" w:after="40" w:line="240" w:lineRule="auto"/>
        <w:ind w:left="288" w:hanging="288"/>
        <w:jc w:val="both"/>
      </w:pPr>
      <w:r>
        <w:rPr>
          <w:rFonts w:ascii="Times New Roman" w:hAnsi="Times New Roman"/>
          <w:sz w:val="16"/>
        </w:rPr>
        <w:t>[8] K. Bonawitz et al., "Practical secure aggregation for privacy-preserving machine learning," in Proc. 2017 ACM SIGSAC Conf. Comput. Commun. Security (CCS), 2017, pp. 1175–1191, doi: 10.1145/3133956.3134012.</w:t>
      </w:r>
    </w:p>
    <w:p>
      <w:pPr>
        <w:spacing w:before="0" w:after="40" w:line="240" w:lineRule="auto"/>
        <w:ind w:left="288" w:hanging="288"/>
        <w:jc w:val="both"/>
      </w:pPr>
      <w:r>
        <w:rPr>
          <w:rFonts w:ascii="Times New Roman" w:hAnsi="Times New Roman"/>
          <w:sz w:val="16"/>
        </w:rPr>
        <w:t>[9] P. Mohassel and Y. Zhang, "SecureML: A system for scalable privacy-preserving machine learning," in Proc. 2017 IEEE Symp. Security and Privacy (SP), 2017, pp. 19–38, doi: 10.1109/SP.2017.12.</w:t>
      </w:r>
    </w:p>
    <w:p>
      <w:pPr>
        <w:spacing w:before="0" w:after="40" w:line="240" w:lineRule="auto"/>
        <w:ind w:left="288" w:hanging="288"/>
        <w:jc w:val="both"/>
      </w:pPr>
      <w:r>
        <w:rPr>
          <w:rFonts w:ascii="Times New Roman" w:hAnsi="Times New Roman"/>
          <w:sz w:val="16"/>
        </w:rPr>
        <w:t>[10] J. Kang, Z. Xiong, D. Niyato, S. Xie, and J. Zhang, "Incentive mechanism for reliable federated learning: A joint optimization approach to combining reputation and contract theory," IEEE Internet of Things Journal, vol. 6, no. 6, pp. 10700–10714, Dec. 2019, doi: 10.1109/JIOT.2019.2940820.</w:t>
      </w:r>
    </w:p>
    <w:p>
      <w:pPr>
        <w:spacing w:before="0" w:after="40" w:line="240" w:lineRule="auto"/>
        <w:ind w:left="288" w:hanging="288"/>
        <w:jc w:val="both"/>
      </w:pPr>
      <w:r>
        <w:rPr>
          <w:rFonts w:ascii="Times New Roman" w:hAnsi="Times New Roman"/>
          <w:sz w:val="16"/>
        </w:rPr>
        <w:t>[11] L. U. Khan, W. Saad, Z. Han, M. Z. Shakir, and C. S. Hong, "Federated learning for edge networks: Resource optimization and incentive mechanism," IEEE Communications Magazine, vol. 58, no. 10, pp. 88–93, Oct. 2020, doi: 10.1109/MCOM.001.2000213.</w:t>
      </w:r>
    </w:p>
    <w:p>
      <w:pPr>
        <w:spacing w:before="0" w:after="40" w:line="240" w:lineRule="auto"/>
        <w:ind w:left="288" w:hanging="288"/>
        <w:jc w:val="both"/>
      </w:pPr>
      <w:r>
        <w:rPr>
          <w:rFonts w:ascii="Times New Roman" w:hAnsi="Times New Roman"/>
          <w:sz w:val="16"/>
        </w:rPr>
        <w:t>[12] P. Blanchard, E. M. El Mhamdi, R. Guerraoui, and J. Stainer, "Machine learning with adversaries: Byzantine tolerant gradient descent," in Proc. Adv. Neural Inf. Process. Syst. (NeurIPS), vol. 30, 2017, pp. 119–129.</w:t>
      </w:r>
    </w:p>
    <w:p>
      <w:pPr>
        <w:spacing w:before="0" w:after="40" w:line="240" w:lineRule="auto"/>
        <w:ind w:left="288" w:hanging="288"/>
        <w:jc w:val="both"/>
      </w:pPr>
      <w:r>
        <w:rPr>
          <w:rFonts w:ascii="Times New Roman" w:hAnsi="Times New Roman"/>
          <w:sz w:val="16"/>
        </w:rPr>
        <w:t>[13] Y. Zhao, M. Li, L. Lai, N. Suda, D. Civin, and V. Chandra, "Federated learning with non-IID data," Neurocomputing, vol. 465, pp. 175–182, 2021, doi: 10.1016/j.neucom.2021.07.098.</w:t>
      </w:r>
    </w:p>
    <w:p>
      <w:pPr>
        <w:spacing w:before="0" w:after="40" w:line="240" w:lineRule="auto"/>
        <w:ind w:left="288" w:hanging="288"/>
        <w:jc w:val="both"/>
      </w:pPr>
      <w:r>
        <w:rPr>
          <w:rFonts w:ascii="Times New Roman" w:hAnsi="Times New Roman"/>
          <w:sz w:val="16"/>
        </w:rPr>
        <w:t>[14] T. Li, A. K. Sahu, M. Zaheer, M. Sanjabi, A. Talwalkar, and V. Smith, "Federated optimization in heterogeneous networks," in Proc. Machine Learning and Systems (MLSys), vol. 2, 2020, pp. 429–450.</w:t>
      </w:r>
    </w:p>
    <w:p>
      <w:pPr>
        <w:spacing w:before="0" w:after="40" w:line="240" w:lineRule="auto"/>
        <w:ind w:left="288" w:hanging="288"/>
        <w:jc w:val="both"/>
      </w:pPr>
      <w:r>
        <w:rPr>
          <w:rFonts w:ascii="Times New Roman" w:hAnsi="Times New Roman"/>
          <w:sz w:val="16"/>
        </w:rPr>
        <w:t>[15] S. P. Karimireddy, S. Kale, M. Mohri, S. Reddi, S. Stich, and A. T. Suresh, "SCAFFOLD: Stochastic controlled averaging for federated learning," in Proc. 37th Int. Conf. Machine Learning (ICML), 2020, pp. 5132–5143.</w:t>
      </w:r>
    </w:p>
    <w:sectPr w:rsidR="00FC693F" w:rsidRPr="0006063C" w:rsidSect="00034616">
      <w:type w:val="continuous"/>
      <w:pgSz w:w="12240" w:h="15840"/>
      <w:pgMar w:top="1080" w:right="900" w:bottom="1440" w:left="900"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before="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