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Morning Hands 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Data Structure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DBMS stores data in files or simple tables, whereas RDBMS stores data in well-defined tables with rows and columns.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Relationship Handling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DBMS does not properly support relationships between data, while RDBMS maintains relationships using keys.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Primary Key Support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DBMS may not enforce primary keys, but RDBMS strictly enforces primary keys to uniquely identify records.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Foreign Key Support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DBMS does not support foreign keys, whereas RDBMS uses foreign keys to connect related tables.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Data Redundancy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DBMS allows higher data redundancy, while RDBMS reduces redundancy through normalization.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 Data Integrity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Data integrity is not strongly maintained in DBMS, but RDBMS ensures data integrity using constraints.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7. Normalization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Normalization is not properly applied in DBMS, whereas RDBMS fully supports normalization.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Multi-user Access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DBMS has limited multi-user access, while RDBMS efficiently supports multiple users at the same time.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9. Security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DBMS provides basic security, whereas RDBMS offers advanced security features like role-based access.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10. Real-world Usage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DBMS is suitable for small and simple applications, while RDBMS is used in large, real-world systems like banking and social media.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Social Media Schema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a user likes a post on Monday, then dislikes it on Friday, and likes it again on the next Monday, the system does not update the same record.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Instead, each action is stored as a new row in a Post_Reaction table.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table uses Reaction_ID as the Primary Key and User_ID and Post_ID as Foreign Keys.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latest record shows the current reaction, while older records preserve the history.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Similarly, when a user is active in the first week and then inactive for several months, the status change is stored in a User_Status table.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Each status entry has a Status_ID as the Primary Key and User_ID as the Foreign Key, along with date information.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This helps track user activity over time without losing previous data.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Thus, RDBMS uses primary and foreign keys to store relationships, track changes, and maintain data integrity, which is not possible in a simple DBMS.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