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773A" w:rsidRPr="00E2773A" w:rsidRDefault="00E2773A" w:rsidP="00E27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bookmarkStart w:id="0" w:name="_GoBack"/>
      <w:r w:rsidRPr="00E2773A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Business Problem</w:t>
      </w:r>
    </w:p>
    <w:p w:rsidR="00E2773A" w:rsidRPr="00E2773A" w:rsidRDefault="00E2773A" w:rsidP="00E27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E2773A">
        <w:rPr>
          <w:rFonts w:ascii="Times New Roman" w:eastAsia="Times New Roman" w:hAnsi="Times New Roman" w:cs="Times New Roman"/>
          <w:sz w:val="44"/>
          <w:szCs w:val="44"/>
          <w:lang w:eastAsia="en-IN"/>
        </w:rPr>
        <w:t>Customer churn is one of the biggest challenges faced by subscription-based businesses such as telecommunications companies. Losing existing customers directly impacts revenue, customer lifetime value, and acquisition costs.</w:t>
      </w:r>
    </w:p>
    <w:p w:rsidR="00E2773A" w:rsidRPr="00E2773A" w:rsidRDefault="00E2773A" w:rsidP="00E27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E2773A">
        <w:rPr>
          <w:rFonts w:ascii="Times New Roman" w:eastAsia="Times New Roman" w:hAnsi="Times New Roman" w:cs="Times New Roman"/>
          <w:sz w:val="44"/>
          <w:szCs w:val="44"/>
          <w:lang w:eastAsia="en-IN"/>
        </w:rPr>
        <w:t>The organization required an interactive dashboard capable of monitoring customer churn, identifying high-risk customer groups, and providing business leaders with actionable insights to support retention initiatives.</w:t>
      </w:r>
    </w:p>
    <w:p w:rsidR="00E2773A" w:rsidRPr="00E2773A" w:rsidRDefault="00E2773A" w:rsidP="00E27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E2773A">
        <w:rPr>
          <w:rFonts w:ascii="Times New Roman" w:eastAsia="Times New Roman" w:hAnsi="Times New Roman" w:cs="Times New Roman"/>
          <w:sz w:val="44"/>
          <w:szCs w:val="44"/>
          <w:lang w:eastAsia="en-IN"/>
        </w:rPr>
        <w:t>The absence of centralized reporting made it difficult to answer critical business questions such as:</w:t>
      </w:r>
    </w:p>
    <w:p w:rsidR="00E2773A" w:rsidRPr="00E2773A" w:rsidRDefault="00E2773A" w:rsidP="00E277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E2773A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Which customers are most likely to churn? </w:t>
      </w:r>
    </w:p>
    <w:p w:rsidR="00E2773A" w:rsidRPr="00E2773A" w:rsidRDefault="00E2773A" w:rsidP="00E277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E2773A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Which contract types contribute to the highest churn? </w:t>
      </w:r>
    </w:p>
    <w:p w:rsidR="00E2773A" w:rsidRPr="00E2773A" w:rsidRDefault="00E2773A" w:rsidP="00E277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E2773A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Which payment methods are associated with churn? </w:t>
      </w:r>
    </w:p>
    <w:p w:rsidR="00E2773A" w:rsidRPr="00E2773A" w:rsidRDefault="00E2773A" w:rsidP="00E277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E2773A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How does customer tenure influence churn? </w:t>
      </w:r>
    </w:p>
    <w:p w:rsidR="00E2773A" w:rsidRPr="00E2773A" w:rsidRDefault="00E2773A" w:rsidP="00E277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E2773A">
        <w:rPr>
          <w:rFonts w:ascii="Times New Roman" w:eastAsia="Times New Roman" w:hAnsi="Times New Roman" w:cs="Times New Roman"/>
          <w:sz w:val="44"/>
          <w:szCs w:val="44"/>
          <w:lang w:eastAsia="en-IN"/>
        </w:rPr>
        <w:t xml:space="preserve">Which services require immediate attention? </w:t>
      </w:r>
    </w:p>
    <w:bookmarkEnd w:id="0"/>
    <w:p w:rsidR="008637EA" w:rsidRDefault="00E2773A"/>
    <w:sectPr w:rsidR="00863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543C85"/>
    <w:multiLevelType w:val="multilevel"/>
    <w:tmpl w:val="D7A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3A"/>
    <w:rsid w:val="001C6D4D"/>
    <w:rsid w:val="004219B8"/>
    <w:rsid w:val="00E2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A69459-610A-4DC3-ACEF-C3E504B3B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77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73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27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99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2026-06-27T06:45:00Z</dcterms:created>
  <dcterms:modified xsi:type="dcterms:W3CDTF">2026-06-27T06:47:00Z</dcterms:modified>
</cp:coreProperties>
</file>