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12DFB" w:rsidRPr="00912DFB" w:rsidRDefault="00912DFB" w:rsidP="00912D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</w:pPr>
      <w:bookmarkStart w:id="0" w:name="_GoBack"/>
      <w:r w:rsidRPr="00912DFB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>Key Business Insights</w:t>
      </w:r>
    </w:p>
    <w:p w:rsidR="00912DFB" w:rsidRPr="00912DFB" w:rsidRDefault="00912DFB" w:rsidP="00912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 w:rsidRPr="00912DFB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Overall Customer Churn</w:t>
      </w:r>
    </w:p>
    <w:p w:rsidR="00912DFB" w:rsidRPr="00912DFB" w:rsidRDefault="00912DFB" w:rsidP="0091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912DFB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The dashboard identified an overall churn rate of </w:t>
      </w:r>
      <w:r w:rsidRPr="00912DFB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26.58%</w:t>
      </w:r>
      <w:r w:rsidRPr="00912DFB">
        <w:rPr>
          <w:rFonts w:ascii="Times New Roman" w:eastAsia="Times New Roman" w:hAnsi="Times New Roman" w:cs="Times New Roman"/>
          <w:sz w:val="40"/>
          <w:szCs w:val="40"/>
          <w:lang w:eastAsia="en-IN"/>
        </w:rPr>
        <w:t>, indicating that approximately one out of every four customers discontinued the service.</w:t>
      </w:r>
    </w:p>
    <w:p w:rsidR="00912DFB" w:rsidRPr="00912DFB" w:rsidRDefault="00912DFB" w:rsidP="00912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 w:rsidRPr="00912DFB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Contract Type</w:t>
      </w:r>
    </w:p>
    <w:p w:rsidR="00912DFB" w:rsidRPr="00912DFB" w:rsidRDefault="00912DFB" w:rsidP="0091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912DFB">
        <w:rPr>
          <w:rFonts w:ascii="Times New Roman" w:eastAsia="Times New Roman" w:hAnsi="Times New Roman" w:cs="Times New Roman"/>
          <w:sz w:val="40"/>
          <w:szCs w:val="40"/>
          <w:lang w:eastAsia="en-IN"/>
        </w:rPr>
        <w:t>Month-to-month customers represented the largest share of churn, suggesting that shorter contract commitments are associated with higher customer attrition.</w:t>
      </w:r>
    </w:p>
    <w:p w:rsidR="00912DFB" w:rsidRPr="00912DFB" w:rsidRDefault="00912DFB" w:rsidP="00912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 w:rsidRPr="00912DFB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Customer Tenure</w:t>
      </w:r>
    </w:p>
    <w:p w:rsidR="00912DFB" w:rsidRPr="00912DFB" w:rsidRDefault="00912DFB" w:rsidP="0091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912DFB">
        <w:rPr>
          <w:rFonts w:ascii="Times New Roman" w:eastAsia="Times New Roman" w:hAnsi="Times New Roman" w:cs="Times New Roman"/>
          <w:sz w:val="40"/>
          <w:szCs w:val="40"/>
          <w:lang w:eastAsia="en-IN"/>
        </w:rPr>
        <w:t>Customers within the first six months exhibited the highest churn rate, highlighting onboarding and early customer engagement as critical stages.</w:t>
      </w:r>
    </w:p>
    <w:p w:rsidR="00912DFB" w:rsidRPr="00912DFB" w:rsidRDefault="00912DFB" w:rsidP="00912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 w:rsidRPr="00912DFB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Payment Method</w:t>
      </w:r>
    </w:p>
    <w:p w:rsidR="00912DFB" w:rsidRPr="00912DFB" w:rsidRDefault="00912DFB" w:rsidP="0091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912DFB">
        <w:rPr>
          <w:rFonts w:ascii="Times New Roman" w:eastAsia="Times New Roman" w:hAnsi="Times New Roman" w:cs="Times New Roman"/>
          <w:sz w:val="40"/>
          <w:szCs w:val="40"/>
          <w:lang w:eastAsia="en-IN"/>
        </w:rPr>
        <w:t>Customers using Electronic Check showed the highest churn count, indicating potential opportunities to encourage more stable payment methods.</w:t>
      </w:r>
    </w:p>
    <w:p w:rsidR="00912DFB" w:rsidRPr="00912DFB" w:rsidRDefault="00912DFB" w:rsidP="00912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 w:rsidRPr="00912DFB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Internet Service</w:t>
      </w:r>
    </w:p>
    <w:p w:rsidR="00912DFB" w:rsidRPr="00912DFB" w:rsidRDefault="00912DFB" w:rsidP="0091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proofErr w:type="spellStart"/>
      <w:r w:rsidRPr="00912DFB">
        <w:rPr>
          <w:rFonts w:ascii="Times New Roman" w:eastAsia="Times New Roman" w:hAnsi="Times New Roman" w:cs="Times New Roman"/>
          <w:sz w:val="40"/>
          <w:szCs w:val="40"/>
          <w:lang w:eastAsia="en-IN"/>
        </w:rPr>
        <w:t>Fiber</w:t>
      </w:r>
      <w:proofErr w:type="spellEnd"/>
      <w:r w:rsidRPr="00912DFB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Optic customers contributed the highest churn volume, suggesting a need to investigate service quality, pricing, or customer expectations.</w:t>
      </w:r>
    </w:p>
    <w:bookmarkEnd w:id="0"/>
    <w:p w:rsidR="008637EA" w:rsidRPr="00912DFB" w:rsidRDefault="00912DFB">
      <w:pPr>
        <w:rPr>
          <w:sz w:val="40"/>
          <w:szCs w:val="40"/>
        </w:rPr>
      </w:pPr>
    </w:p>
    <w:sectPr w:rsidR="008637EA" w:rsidRPr="00912D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DFB"/>
    <w:rsid w:val="001C6D4D"/>
    <w:rsid w:val="004219B8"/>
    <w:rsid w:val="00912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8FD4BD-057D-4B55-BE3C-678875391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12DF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12DF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DF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12DF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12D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12DF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0113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125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1</cp:revision>
  <dcterms:created xsi:type="dcterms:W3CDTF">2026-06-27T06:47:00Z</dcterms:created>
  <dcterms:modified xsi:type="dcterms:W3CDTF">2026-06-27T06:49:00Z</dcterms:modified>
</cp:coreProperties>
</file>