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6B" w:rsidRPr="009E4E6D" w:rsidRDefault="00F73136">
      <w:pPr>
        <w:pStyle w:val="Heading1"/>
        <w:rPr>
          <w:rFonts w:ascii="Times New Roman" w:hAnsi="Times New Roman" w:cs="Times New Roman"/>
          <w:sz w:val="28"/>
        </w:rPr>
      </w:pPr>
      <w:r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  <w:bookmarkStart w:id="0" w:name="_GoBack"/>
      <w:bookmarkEnd w:id="0"/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4F5445">
        <w:t>26</w:t>
      </w:r>
      <w:r w:rsidR="008F7353">
        <w:t>-August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2C58BD" w:rsidRDefault="00906382" w:rsidP="00FB7C63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913FCF" w:rsidRDefault="008F7353" w:rsidP="00913FCF">
      <w:pPr>
        <w:pStyle w:val="ListParagraph"/>
        <w:numPr>
          <w:ilvl w:val="0"/>
          <w:numId w:val="32"/>
        </w:numPr>
        <w:rPr>
          <w:bCs/>
        </w:rPr>
      </w:pPr>
      <w:r>
        <w:t>udaan-report.war</w:t>
      </w:r>
    </w:p>
    <w:p w:rsidR="00FB7C63" w:rsidRPr="00FB7C63" w:rsidRDefault="00FB7C63" w:rsidP="00913FCF">
      <w:pPr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73350A">
        <w:rPr>
          <w:b/>
          <w:bCs/>
        </w:rPr>
        <w:t xml:space="preserve"> 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9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E95A9B">
        <w:rPr>
          <w:highlight w:val="yellow"/>
        </w:rPr>
        <w:t>: /</w:t>
      </w:r>
      <w:proofErr w:type="spellStart"/>
      <w:r w:rsidR="00E95A9B">
        <w:rPr>
          <w:highlight w:val="yellow"/>
        </w:rPr>
        <w:t>Capgemini</w:t>
      </w:r>
      <w:proofErr w:type="spellEnd"/>
      <w:r w:rsidR="00E95A9B">
        <w:rPr>
          <w:highlight w:val="yellow"/>
        </w:rPr>
        <w:t>/UDAAN/UDAAN_PROD_26</w:t>
      </w:r>
      <w:r w:rsidR="008F7353">
        <w:rPr>
          <w:highlight w:val="yellow"/>
        </w:rPr>
        <w:t>AUGUST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3A0C48" w:rsidRDefault="003A0C48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6F5896" w:rsidRDefault="002A1678" w:rsidP="006B246C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5B292D" w:rsidRDefault="005B292D" w:rsidP="006B246C">
      <w:pPr>
        <w:rPr>
          <w:b/>
          <w:sz w:val="28"/>
        </w:rPr>
      </w:pPr>
    </w:p>
    <w:p w:rsidR="007D5731" w:rsidRDefault="007D5731" w:rsidP="007D5731">
      <w:r w:rsidRPr="00FF28B2">
        <w:t>Fol</w:t>
      </w:r>
      <w:r w:rsidR="0073350A">
        <w:t>lowing are the</w:t>
      </w:r>
      <w:r w:rsidR="008F7353">
        <w:t xml:space="preserve"> Issues resolved in this Release</w:t>
      </w:r>
      <w:r w:rsidR="0073350A">
        <w:t>:</w:t>
      </w:r>
    </w:p>
    <w:p w:rsidR="007D5731" w:rsidRDefault="007D5731" w:rsidP="007D5731"/>
    <w:tbl>
      <w:tblPr>
        <w:tblW w:w="0" w:type="auto"/>
        <w:tblInd w:w="-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1396"/>
        <w:gridCol w:w="5655"/>
        <w:gridCol w:w="1129"/>
      </w:tblGrid>
      <w:tr w:rsidR="00EB0A81" w:rsidTr="0073461A">
        <w:trPr>
          <w:trHeight w:val="300"/>
        </w:trPr>
        <w:tc>
          <w:tcPr>
            <w:tcW w:w="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1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  <w:rPr>
                <w:b/>
                <w:bCs/>
              </w:rPr>
            </w:pPr>
            <w:r w:rsidRPr="00EB0A81">
              <w:rPr>
                <w:b/>
                <w:bCs/>
              </w:rPr>
              <w:t>Report Name</w:t>
            </w:r>
          </w:p>
        </w:tc>
        <w:tc>
          <w:tcPr>
            <w:tcW w:w="5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  <w:rPr>
                <w:b/>
                <w:bCs/>
              </w:rPr>
            </w:pPr>
            <w:r w:rsidRPr="00EB0A81">
              <w:rPr>
                <w:b/>
                <w:bCs/>
              </w:rPr>
              <w:t>ISSUES DESCRIPTION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  <w:rPr>
                <w:b/>
                <w:bCs/>
              </w:rPr>
            </w:pPr>
            <w:r w:rsidRPr="00EB0A81">
              <w:rPr>
                <w:b/>
                <w:bCs/>
              </w:rPr>
              <w:t>Scripts if any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1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DSR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proofErr w:type="spellStart"/>
            <w:r w:rsidRPr="00EB0A81">
              <w:t>Dsr</w:t>
            </w:r>
            <w:proofErr w:type="spellEnd"/>
            <w:r w:rsidRPr="00EB0A81">
              <w:t xml:space="preserve"> report- </w:t>
            </w:r>
            <w:proofErr w:type="spellStart"/>
            <w:r w:rsidRPr="00EB0A81">
              <w:t>Foc</w:t>
            </w:r>
            <w:proofErr w:type="spellEnd"/>
            <w:r w:rsidRPr="00EB0A81">
              <w:t xml:space="preserve"> amount to be removed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Pr="008F17CB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2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BRR-Detail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Empty receiver name is replaced with office seal &amp; stamp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Pr="008F17CB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3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BRR-Detail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remove that &amp;uploaded keep only c/</w:t>
            </w:r>
            <w:proofErr w:type="spellStart"/>
            <w:r w:rsidRPr="00EB0A81">
              <w:t>ments</w:t>
            </w:r>
            <w:proofErr w:type="spellEnd"/>
            <w:r w:rsidRPr="00EB0A81">
              <w:t xml:space="preserve"> delivered In drop down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Pr="008F17CB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4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BRR-Detail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BRR detail report after Consignment Number, Consignment Receive Date should be added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Pr="008F17CB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5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 xml:space="preserve">Priority Tat </w:t>
            </w:r>
            <w:proofErr w:type="spellStart"/>
            <w:r w:rsidRPr="00EB0A81">
              <w:t>failuare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 xml:space="preserve">Priority Tat </w:t>
            </w:r>
            <w:proofErr w:type="spellStart"/>
            <w:r w:rsidRPr="00EB0A81">
              <w:t>failuare</w:t>
            </w:r>
            <w:proofErr w:type="spellEnd"/>
            <w:r w:rsidRPr="00EB0A81">
              <w:t xml:space="preserve"> delivered consignments coming as undelivered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Pr="008F17CB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6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BRR-Detail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Need to add DOB in drop down report type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Pr="008F17CB" w:rsidRDefault="00EB0A81" w:rsidP="0073461A">
            <w:pPr>
              <w:jc w:val="center"/>
            </w:pPr>
            <w:r w:rsidRPr="00EB0A81">
              <w:t>Scripts attached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7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>
              <w:t>Consignment booking details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Regional login issue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Pr="008F17CB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8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Hit ratio reports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Regional login issue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Pr="008F17CB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9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All Product Status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When generating RTH c/</w:t>
            </w:r>
            <w:proofErr w:type="spellStart"/>
            <w:r w:rsidRPr="00EB0A81">
              <w:t>ment</w:t>
            </w:r>
            <w:proofErr w:type="spellEnd"/>
            <w:r w:rsidRPr="00EB0A81">
              <w:t xml:space="preserve"> list and tracking the same in UDAAN as well as Website the status for the same shows “Pending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Pr="008F17CB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10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All Product Status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 xml:space="preserve">When we generate report of Pending &amp; RTH the consignment are coming in duplicate row. It is showing all the Pending reason updated date wise but the serial number shows in continuation format. for </w:t>
            </w:r>
            <w:proofErr w:type="spellStart"/>
            <w:r w:rsidRPr="00EB0A81">
              <w:t>e.g</w:t>
            </w:r>
            <w:proofErr w:type="spellEnd"/>
            <w:r w:rsidRPr="00EB0A81">
              <w:t xml:space="preserve"> same should reflect like below format in Pending &amp; RTH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11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proofErr w:type="spellStart"/>
            <w:r w:rsidRPr="00EB0A81">
              <w:t>Rth</w:t>
            </w:r>
            <w:proofErr w:type="spellEnd"/>
            <w:r w:rsidRPr="00EB0A81">
              <w:t xml:space="preserve"> Validation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In Pending Date column at some places the dates are coming up and down...It should be in ascending order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12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proofErr w:type="spellStart"/>
            <w:r w:rsidRPr="00EB0A81">
              <w:t>Tpt</w:t>
            </w:r>
            <w:proofErr w:type="spellEnd"/>
            <w:r w:rsidRPr="00EB0A81">
              <w:t xml:space="preserve"> load </w:t>
            </w:r>
            <w:r w:rsidRPr="00EB0A81">
              <w:lastRenderedPageBreak/>
              <w:t>handled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lastRenderedPageBreak/>
              <w:t>duplicate consignments are reflecting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lastRenderedPageBreak/>
              <w:t>13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 xml:space="preserve">Online Pending </w:t>
            </w:r>
            <w:proofErr w:type="spellStart"/>
            <w:r w:rsidRPr="00EB0A81">
              <w:t>Datewise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In Online Pending Report Total and Percentage are calculated wrongly in some Column (Highlighted in Red).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14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 xml:space="preserve">Online Pending </w:t>
            </w:r>
            <w:proofErr w:type="spellStart"/>
            <w:r w:rsidRPr="00EB0A81">
              <w:t>Datewise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In Online pending report C/nee refused to accept column Dox percentage are coming in minus (-) figure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15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BRR-Detail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Pending reason column is added for pending consignments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N</w:t>
            </w:r>
          </w:p>
        </w:tc>
      </w:tr>
      <w:tr w:rsidR="00EB0A81" w:rsidTr="0073461A">
        <w:trPr>
          <w:trHeight w:val="300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16</w:t>
            </w: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Bill Printing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81" w:rsidRDefault="00EB0A81" w:rsidP="0073461A">
            <w:pPr>
              <w:jc w:val="center"/>
            </w:pPr>
            <w:r w:rsidRPr="00EB0A81">
              <w:t>duplicate customers are populated in drop down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A81" w:rsidRDefault="00EB0A81" w:rsidP="0073461A">
            <w:pPr>
              <w:jc w:val="center"/>
            </w:pPr>
            <w:r>
              <w:t>N</w:t>
            </w:r>
          </w:p>
        </w:tc>
      </w:tr>
    </w:tbl>
    <w:p w:rsidR="003A0C48" w:rsidRDefault="003A0C48" w:rsidP="006B246C">
      <w:pPr>
        <w:rPr>
          <w:b/>
          <w:sz w:val="28"/>
        </w:rPr>
      </w:pPr>
    </w:p>
    <w:p w:rsidR="003A0C48" w:rsidRPr="006B246C" w:rsidRDefault="003A0C48" w:rsidP="006B246C">
      <w:pPr>
        <w:rPr>
          <w:b/>
          <w:sz w:val="28"/>
        </w:rPr>
      </w:pPr>
    </w:p>
    <w:p w:rsidR="00164E31" w:rsidRDefault="00164E31" w:rsidP="00164E31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164E31" w:rsidRDefault="00164E31" w:rsidP="00164E31">
      <w:pPr>
        <w:rPr>
          <w:b/>
          <w:sz w:val="28"/>
          <w:u w:val="single"/>
        </w:rPr>
      </w:pPr>
    </w:p>
    <w:p w:rsidR="00A00B0E" w:rsidRDefault="00A00B0E" w:rsidP="00A00B0E">
      <w:pPr>
        <w:pStyle w:val="ListParagraph"/>
        <w:numPr>
          <w:ilvl w:val="3"/>
          <w:numId w:val="1"/>
        </w:numPr>
      </w:pPr>
      <w:r w:rsidRPr="00A00B0E">
        <w:t>ScripToAlterDropdownValue.txt</w:t>
      </w:r>
    </w:p>
    <w:p w:rsidR="00A00B0E" w:rsidRDefault="00A00B0E" w:rsidP="00A00B0E">
      <w:pPr>
        <w:pStyle w:val="ListParagraph"/>
        <w:numPr>
          <w:ilvl w:val="3"/>
          <w:numId w:val="1"/>
        </w:numPr>
      </w:pPr>
      <w:r w:rsidRPr="00A00B0E">
        <w:t>ScriptToAddDOBInFilter.txt</w:t>
      </w:r>
    </w:p>
    <w:p w:rsidR="00EE7F42" w:rsidRDefault="00A00B0E" w:rsidP="00A00B0E">
      <w:pPr>
        <w:pStyle w:val="ListParagraph"/>
        <w:ind w:left="2520"/>
      </w:pPr>
      <w:r w:rsidRPr="00A00B0E">
        <w:rPr>
          <w:highlight w:val="yellow"/>
        </w:rPr>
        <w:t xml:space="preserve">(Script </w:t>
      </w:r>
      <w:proofErr w:type="gramStart"/>
      <w:r w:rsidRPr="00A00B0E">
        <w:rPr>
          <w:highlight w:val="yellow"/>
        </w:rPr>
        <w:t>To</w:t>
      </w:r>
      <w:proofErr w:type="gramEnd"/>
      <w:r w:rsidRPr="00A00B0E">
        <w:rPr>
          <w:highlight w:val="yellow"/>
        </w:rPr>
        <w:t xml:space="preserve"> Add DOB In Filter Dropdown Of BRR-Reports)</w:t>
      </w:r>
    </w:p>
    <w:p w:rsidR="008F17CB" w:rsidRPr="00BC0EEE" w:rsidRDefault="008F17CB" w:rsidP="008F17CB">
      <w:pPr>
        <w:pStyle w:val="ListParagraph"/>
        <w:numPr>
          <w:ilvl w:val="3"/>
          <w:numId w:val="1"/>
        </w:numPr>
      </w:pPr>
      <w:r w:rsidRPr="008F17CB">
        <w:t xml:space="preserve">DRS Closure Summary Menu Bar Creation </w:t>
      </w:r>
      <w:proofErr w:type="spellStart"/>
      <w:r w:rsidRPr="008F17CB">
        <w:t>Scripts.sql</w:t>
      </w:r>
      <w:proofErr w:type="spellEnd"/>
    </w:p>
    <w:sectPr w:rsidR="008F17CB" w:rsidRPr="00BC0EEE" w:rsidSect="00D60A8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905" w:rsidRDefault="00C42905">
      <w:r>
        <w:separator/>
      </w:r>
    </w:p>
  </w:endnote>
  <w:endnote w:type="continuationSeparator" w:id="0">
    <w:p w:rsidR="00C42905" w:rsidRDefault="00C4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905" w:rsidRDefault="00C42905">
      <w:r>
        <w:separator/>
      </w:r>
    </w:p>
  </w:footnote>
  <w:footnote w:type="continuationSeparator" w:id="0">
    <w:p w:rsidR="00C42905" w:rsidRDefault="00C429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2C58BD">
          <w:pPr>
            <w:pStyle w:val="Header"/>
            <w:tabs>
              <w:tab w:val="left" w:pos="141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73350A">
            <w:rPr>
              <w:rFonts w:ascii="Arial" w:hAnsi="Arial" w:cs="Arial"/>
              <w:b/>
            </w:rPr>
            <w:t>NA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4F5445">
            <w:rPr>
              <w:rFonts w:ascii="Arial" w:hAnsi="Arial" w:cs="Arial"/>
              <w:b/>
              <w:sz w:val="18"/>
            </w:rPr>
            <w:t>: 2.2.5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4F5445">
            <w:rPr>
              <w:rFonts w:ascii="Arial" w:hAnsi="Arial" w:cs="Arial"/>
              <w:b/>
              <w:sz w:val="18"/>
            </w:rPr>
            <w:t xml:space="preserve">                              26</w:t>
          </w:r>
          <w:r w:rsidR="0073350A">
            <w:rPr>
              <w:rFonts w:ascii="Arial" w:hAnsi="Arial" w:cs="Arial"/>
              <w:b/>
              <w:sz w:val="18"/>
            </w:rPr>
            <w:t>-August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6139F"/>
    <w:multiLevelType w:val="hybridMultilevel"/>
    <w:tmpl w:val="B92E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42640"/>
    <w:multiLevelType w:val="hybridMultilevel"/>
    <w:tmpl w:val="3F8A1DF6"/>
    <w:lvl w:ilvl="0" w:tplc="04090001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9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6"/>
  </w:num>
  <w:num w:numId="4">
    <w:abstractNumId w:val="21"/>
  </w:num>
  <w:num w:numId="5">
    <w:abstractNumId w:val="14"/>
  </w:num>
  <w:num w:numId="6">
    <w:abstractNumId w:val="28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4"/>
  </w:num>
  <w:num w:numId="11">
    <w:abstractNumId w:val="10"/>
  </w:num>
  <w:num w:numId="12">
    <w:abstractNumId w:val="1"/>
  </w:num>
  <w:num w:numId="13">
    <w:abstractNumId w:val="30"/>
  </w:num>
  <w:num w:numId="14">
    <w:abstractNumId w:val="4"/>
  </w:num>
  <w:num w:numId="15">
    <w:abstractNumId w:val="5"/>
  </w:num>
  <w:num w:numId="16">
    <w:abstractNumId w:val="16"/>
  </w:num>
  <w:num w:numId="17">
    <w:abstractNumId w:val="22"/>
  </w:num>
  <w:num w:numId="18">
    <w:abstractNumId w:val="11"/>
  </w:num>
  <w:num w:numId="19">
    <w:abstractNumId w:val="15"/>
  </w:num>
  <w:num w:numId="20">
    <w:abstractNumId w:val="3"/>
  </w:num>
  <w:num w:numId="21">
    <w:abstractNumId w:val="31"/>
  </w:num>
  <w:num w:numId="22">
    <w:abstractNumId w:val="18"/>
  </w:num>
  <w:num w:numId="23">
    <w:abstractNumId w:val="29"/>
  </w:num>
  <w:num w:numId="24">
    <w:abstractNumId w:val="0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6B"/>
    <w:rsid w:val="000014E2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662D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224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5CD"/>
    <w:rsid w:val="000F6C4F"/>
    <w:rsid w:val="000F6C95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82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16C7"/>
    <w:rsid w:val="0016223F"/>
    <w:rsid w:val="0016234E"/>
    <w:rsid w:val="00162BF3"/>
    <w:rsid w:val="001635D4"/>
    <w:rsid w:val="00163CED"/>
    <w:rsid w:val="00164E31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453E"/>
    <w:rsid w:val="00195F28"/>
    <w:rsid w:val="00196DC7"/>
    <w:rsid w:val="001977A3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6F73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966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0CA1"/>
    <w:rsid w:val="001F16CD"/>
    <w:rsid w:val="001F4057"/>
    <w:rsid w:val="001F4483"/>
    <w:rsid w:val="001F6A11"/>
    <w:rsid w:val="001F6CA3"/>
    <w:rsid w:val="001F7542"/>
    <w:rsid w:val="001F794D"/>
    <w:rsid w:val="00200BF0"/>
    <w:rsid w:val="0020275D"/>
    <w:rsid w:val="00203862"/>
    <w:rsid w:val="00204761"/>
    <w:rsid w:val="002051D0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55BCE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1BB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53A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8BD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087F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229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474F1"/>
    <w:rsid w:val="00350260"/>
    <w:rsid w:val="00350658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1529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5299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0C4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3AFB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649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5FFE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45DA"/>
    <w:rsid w:val="004256E4"/>
    <w:rsid w:val="00425842"/>
    <w:rsid w:val="004268FE"/>
    <w:rsid w:val="00426CDC"/>
    <w:rsid w:val="004278F2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43EE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374"/>
    <w:rsid w:val="004A06E5"/>
    <w:rsid w:val="004A0D88"/>
    <w:rsid w:val="004A1042"/>
    <w:rsid w:val="004A1C33"/>
    <w:rsid w:val="004A2A38"/>
    <w:rsid w:val="004A366F"/>
    <w:rsid w:val="004A3CCD"/>
    <w:rsid w:val="004A426E"/>
    <w:rsid w:val="004A53D5"/>
    <w:rsid w:val="004A5783"/>
    <w:rsid w:val="004A5EF2"/>
    <w:rsid w:val="004A7421"/>
    <w:rsid w:val="004B172C"/>
    <w:rsid w:val="004B2D3F"/>
    <w:rsid w:val="004B3254"/>
    <w:rsid w:val="004B3788"/>
    <w:rsid w:val="004B44D6"/>
    <w:rsid w:val="004B641C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1E"/>
    <w:rsid w:val="004E1F4D"/>
    <w:rsid w:val="004E5B42"/>
    <w:rsid w:val="004E633A"/>
    <w:rsid w:val="004E759C"/>
    <w:rsid w:val="004E78E2"/>
    <w:rsid w:val="004E7CD2"/>
    <w:rsid w:val="004F005F"/>
    <w:rsid w:val="004F0410"/>
    <w:rsid w:val="004F0559"/>
    <w:rsid w:val="004F1383"/>
    <w:rsid w:val="004F23F3"/>
    <w:rsid w:val="004F2655"/>
    <w:rsid w:val="004F351F"/>
    <w:rsid w:val="004F38A7"/>
    <w:rsid w:val="004F38E2"/>
    <w:rsid w:val="004F4981"/>
    <w:rsid w:val="004F5445"/>
    <w:rsid w:val="004F544F"/>
    <w:rsid w:val="004F7274"/>
    <w:rsid w:val="004F78C1"/>
    <w:rsid w:val="004F7B6E"/>
    <w:rsid w:val="00500600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683"/>
    <w:rsid w:val="00511FDD"/>
    <w:rsid w:val="00512368"/>
    <w:rsid w:val="00512510"/>
    <w:rsid w:val="00513422"/>
    <w:rsid w:val="005142FA"/>
    <w:rsid w:val="00514582"/>
    <w:rsid w:val="005146B5"/>
    <w:rsid w:val="00515B36"/>
    <w:rsid w:val="00515E83"/>
    <w:rsid w:val="00515F18"/>
    <w:rsid w:val="005166D8"/>
    <w:rsid w:val="0051699D"/>
    <w:rsid w:val="00516AE3"/>
    <w:rsid w:val="00516BE1"/>
    <w:rsid w:val="00516DA7"/>
    <w:rsid w:val="0051750F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603"/>
    <w:rsid w:val="005418D9"/>
    <w:rsid w:val="005418DB"/>
    <w:rsid w:val="0054237A"/>
    <w:rsid w:val="00544082"/>
    <w:rsid w:val="0054423B"/>
    <w:rsid w:val="00544EFB"/>
    <w:rsid w:val="00547099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355A"/>
    <w:rsid w:val="0056514B"/>
    <w:rsid w:val="005658A1"/>
    <w:rsid w:val="00565C77"/>
    <w:rsid w:val="0056668B"/>
    <w:rsid w:val="00567AD9"/>
    <w:rsid w:val="00572A48"/>
    <w:rsid w:val="00574017"/>
    <w:rsid w:val="00575093"/>
    <w:rsid w:val="0057630C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2F9E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92D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4BA5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3F45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68D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BA3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015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16A1"/>
    <w:rsid w:val="00695142"/>
    <w:rsid w:val="0069580B"/>
    <w:rsid w:val="00695D1C"/>
    <w:rsid w:val="00696821"/>
    <w:rsid w:val="00697056"/>
    <w:rsid w:val="006A0EC7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246C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19F3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896"/>
    <w:rsid w:val="006F5FDD"/>
    <w:rsid w:val="006F6180"/>
    <w:rsid w:val="006F724D"/>
    <w:rsid w:val="006F7DBD"/>
    <w:rsid w:val="006F7F8F"/>
    <w:rsid w:val="007000BF"/>
    <w:rsid w:val="00703B0C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50A"/>
    <w:rsid w:val="00733A53"/>
    <w:rsid w:val="0073461A"/>
    <w:rsid w:val="00734C1B"/>
    <w:rsid w:val="00734DD7"/>
    <w:rsid w:val="00734E13"/>
    <w:rsid w:val="0073569F"/>
    <w:rsid w:val="00735B4C"/>
    <w:rsid w:val="0073738A"/>
    <w:rsid w:val="00737856"/>
    <w:rsid w:val="00737858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46D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20A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97DE0"/>
    <w:rsid w:val="007A0EB1"/>
    <w:rsid w:val="007A1BEA"/>
    <w:rsid w:val="007A20E3"/>
    <w:rsid w:val="007A2294"/>
    <w:rsid w:val="007A2EB6"/>
    <w:rsid w:val="007A2F94"/>
    <w:rsid w:val="007A3219"/>
    <w:rsid w:val="007A5C1E"/>
    <w:rsid w:val="007B0A30"/>
    <w:rsid w:val="007B0F6A"/>
    <w:rsid w:val="007B1852"/>
    <w:rsid w:val="007B1981"/>
    <w:rsid w:val="007B3E70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ED9"/>
    <w:rsid w:val="007D0F52"/>
    <w:rsid w:val="007D0FB5"/>
    <w:rsid w:val="007D1EFA"/>
    <w:rsid w:val="007D3808"/>
    <w:rsid w:val="007D4224"/>
    <w:rsid w:val="007D4661"/>
    <w:rsid w:val="007D4A06"/>
    <w:rsid w:val="007D5731"/>
    <w:rsid w:val="007D5AD0"/>
    <w:rsid w:val="007D6A12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33D"/>
    <w:rsid w:val="007E79F6"/>
    <w:rsid w:val="007F1225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22C5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554B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1D2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0044"/>
    <w:rsid w:val="00891C86"/>
    <w:rsid w:val="00891C8D"/>
    <w:rsid w:val="008920CB"/>
    <w:rsid w:val="0089250E"/>
    <w:rsid w:val="00892527"/>
    <w:rsid w:val="00892BEB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E33"/>
    <w:rsid w:val="008A3582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17CB"/>
    <w:rsid w:val="008F3985"/>
    <w:rsid w:val="008F44DE"/>
    <w:rsid w:val="008F4685"/>
    <w:rsid w:val="008F5389"/>
    <w:rsid w:val="008F5EEE"/>
    <w:rsid w:val="008F7353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3FCF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68CD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577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D3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5562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4CD9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0B0E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6F81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38C8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490B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39E7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165"/>
    <w:rsid w:val="00A902F8"/>
    <w:rsid w:val="00A90F68"/>
    <w:rsid w:val="00A93912"/>
    <w:rsid w:val="00A93959"/>
    <w:rsid w:val="00A93A2F"/>
    <w:rsid w:val="00A94202"/>
    <w:rsid w:val="00A95057"/>
    <w:rsid w:val="00A9637F"/>
    <w:rsid w:val="00A97384"/>
    <w:rsid w:val="00AA1540"/>
    <w:rsid w:val="00AA1CBC"/>
    <w:rsid w:val="00AA21C5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04B"/>
    <w:rsid w:val="00AC7812"/>
    <w:rsid w:val="00AD09AE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24"/>
    <w:rsid w:val="00AE5EEC"/>
    <w:rsid w:val="00AE5F91"/>
    <w:rsid w:val="00AE69C2"/>
    <w:rsid w:val="00AE70A6"/>
    <w:rsid w:val="00AE7891"/>
    <w:rsid w:val="00AE7B67"/>
    <w:rsid w:val="00AE7FDE"/>
    <w:rsid w:val="00AF26D9"/>
    <w:rsid w:val="00AF46A9"/>
    <w:rsid w:val="00AF4E63"/>
    <w:rsid w:val="00AF5AFA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3B9A"/>
    <w:rsid w:val="00B35DC8"/>
    <w:rsid w:val="00B36ADE"/>
    <w:rsid w:val="00B36DC2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59C"/>
    <w:rsid w:val="00B515C8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2DC1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AF6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56D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2EF9"/>
    <w:rsid w:val="00BC5472"/>
    <w:rsid w:val="00BC5BFC"/>
    <w:rsid w:val="00BC6BAC"/>
    <w:rsid w:val="00BC72BB"/>
    <w:rsid w:val="00BC7EB7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6A84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905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ABA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0A0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2DB6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3E32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135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BCF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B53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37EAD"/>
    <w:rsid w:val="00D400C2"/>
    <w:rsid w:val="00D4297F"/>
    <w:rsid w:val="00D452B2"/>
    <w:rsid w:val="00D46E4E"/>
    <w:rsid w:val="00D509EB"/>
    <w:rsid w:val="00D50BCA"/>
    <w:rsid w:val="00D50EFF"/>
    <w:rsid w:val="00D510E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022B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961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6C2F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6A1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195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674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67412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087"/>
    <w:rsid w:val="00E91290"/>
    <w:rsid w:val="00E91C72"/>
    <w:rsid w:val="00E92237"/>
    <w:rsid w:val="00E926E7"/>
    <w:rsid w:val="00E93954"/>
    <w:rsid w:val="00E941B3"/>
    <w:rsid w:val="00E941CB"/>
    <w:rsid w:val="00E94858"/>
    <w:rsid w:val="00E95A9B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E9C"/>
    <w:rsid w:val="00EA2F1C"/>
    <w:rsid w:val="00EA3F40"/>
    <w:rsid w:val="00EA5566"/>
    <w:rsid w:val="00EA6638"/>
    <w:rsid w:val="00EA7940"/>
    <w:rsid w:val="00EA7F84"/>
    <w:rsid w:val="00EB0221"/>
    <w:rsid w:val="00EB0A81"/>
    <w:rsid w:val="00EB295F"/>
    <w:rsid w:val="00EB3D67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290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E7F4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14F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FE"/>
    <w:rsid w:val="00F213E5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4DF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C63"/>
    <w:rsid w:val="00FB7F23"/>
    <w:rsid w:val="00FB7FCC"/>
    <w:rsid w:val="00FC05A2"/>
    <w:rsid w:val="00FC2599"/>
    <w:rsid w:val="00FC314C"/>
    <w:rsid w:val="00FC3C1C"/>
    <w:rsid w:val="00FC54A2"/>
    <w:rsid w:val="00FC5CDB"/>
    <w:rsid w:val="00FC78DE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1F1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tp://ftp.firstflight.net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90C73-A7CC-4613-AF8D-18669139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Gawade, Archana</cp:lastModifiedBy>
  <cp:revision>17</cp:revision>
  <cp:lastPrinted>2006-02-01T15:06:00Z</cp:lastPrinted>
  <dcterms:created xsi:type="dcterms:W3CDTF">2015-08-13T13:30:00Z</dcterms:created>
  <dcterms:modified xsi:type="dcterms:W3CDTF">2015-08-26T13:09:00Z</dcterms:modified>
</cp:coreProperties>
</file>