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Travel Destination Planning Reference</w:t>
      </w:r>
    </w:p>
    <w:p>
      <w:r>
        <w:t>Travel Itinerary Workspace — Reference Source</w:t>
      </w:r>
    </w:p>
    <w:p>
      <w:pPr>
        <w:pStyle w:val="Heading1"/>
      </w:pPr>
      <w:r>
        <w:t>Purpose</w:t>
      </w:r>
    </w:p>
    <w:p>
      <w:r>
        <w:t>Reference guidance for building practical, geographically coordinated travel itineraries.</w:t>
      </w:r>
    </w:p>
    <w:p>
      <w:pPr>
        <w:pStyle w:val="Heading1"/>
      </w:pPr>
      <w:r>
        <w:t>Destination Planning Principles</w:t>
      </w:r>
    </w:p>
    <w:p>
      <w:pPr>
        <w:pStyle w:val="ListBullet"/>
      </w:pPr>
      <w:r>
        <w:t>Group attractions by district, neighborhood, or nearby area to reduce unnecessary travel.</w:t>
      </w:r>
    </w:p>
    <w:p>
      <w:pPr>
        <w:pStyle w:val="ListBullet"/>
      </w:pPr>
      <w:r>
        <w:t>Prefer logical morning-to-evening sequences within the same geographic area.</w:t>
      </w:r>
    </w:p>
    <w:p>
      <w:pPr>
        <w:pStyle w:val="ListBullet"/>
      </w:pPr>
      <w:r>
        <w:t>Allow realistic transit time between activities.</w:t>
      </w:r>
    </w:p>
    <w:p>
      <w:pPr>
        <w:pStyle w:val="ListBullet"/>
      </w:pPr>
      <w:r>
        <w:t>Limit the plan to a maximum of three major activities per day.</w:t>
      </w:r>
    </w:p>
    <w:p>
      <w:pPr>
        <w:pStyle w:val="ListBullet"/>
      </w:pPr>
      <w:r>
        <w:t>Consider the traveler's stated interests, duration, traveler profile, and budget tier.</w:t>
      </w:r>
    </w:p>
    <w:p>
      <w:pPr>
        <w:pStyle w:val="Heading1"/>
      </w:pPr>
      <w:r>
        <w:t>Activity Planning</w:t>
      </w:r>
    </w:p>
    <w:p>
      <w:pPr>
        <w:pStyle w:val="ListBullet"/>
      </w:pPr>
      <w:r>
        <w:t>For each activity, provide the location or area.</w:t>
      </w:r>
    </w:p>
    <w:p>
      <w:pPr>
        <w:pStyle w:val="ListBullet"/>
      </w:pPr>
      <w:r>
        <w:t>Recommend a suitable transit mode such as walking, metro, bus, tram, train, taxi, or rideshare when relevant.</w:t>
      </w:r>
    </w:p>
    <w:p>
      <w:pPr>
        <w:pStyle w:val="ListBullet"/>
      </w:pPr>
      <w:r>
        <w:t>Suggest local dishes, food markets, or dining areas where relevant.</w:t>
      </w:r>
    </w:p>
    <w:p>
      <w:pPr>
        <w:pStyle w:val="ListBullet"/>
      </w:pPr>
      <w:r>
        <w:t>Do not assume dietary preferences or restrictions.</w:t>
      </w:r>
    </w:p>
    <w:p>
      <w:pPr>
        <w:pStyle w:val="Heading1"/>
      </w:pPr>
      <w:r>
        <w:t>Accommodation Guidance</w:t>
      </w:r>
    </w:p>
    <w:p>
      <w:pPr>
        <w:pStyle w:val="ListBullet"/>
      </w:pPr>
      <w:r>
        <w:t>Use generic accommodation guidance such as central accommodation or accommodation near a specified district.</w:t>
      </w:r>
    </w:p>
    <w:p>
      <w:pPr>
        <w:pStyle w:val="ListBullet"/>
      </w:pPr>
      <w:r>
        <w:t>Do not name or recommend specific hotels.</w:t>
      </w:r>
    </w:p>
    <w:p>
      <w:pPr>
        <w:pStyle w:val="Heading1"/>
      </w:pPr>
      <w:r>
        <w:t>Pricing Guidance</w:t>
      </w:r>
    </w:p>
    <w:p>
      <w:pPr>
        <w:pStyle w:val="ListBullet"/>
      </w:pPr>
      <w:r>
        <w:t>Use broad budget ranges rather than exact prices.</w:t>
      </w:r>
    </w:p>
    <w:p>
      <w:pPr>
        <w:pStyle w:val="ListBullet"/>
      </w:pPr>
      <w:r>
        <w:t>State that prices may change.</w:t>
      </w:r>
    </w:p>
    <w:p>
      <w:pPr>
        <w:pStyle w:val="ListBullet"/>
      </w:pPr>
      <w:r>
        <w:t>Do not invent precise prices.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