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color w:val="0D47A1"/>
          <w:sz w:val="30"/>
        </w:rPr>
        <w:t>MACHINE LEARNING-DRIVEN VIRTUAL SCREENING WITH UNCERTAINTY QUANTIFICATION IDENTIFIES PROMISING HANTAVIRUS ANTIVIRAL CANDIDATES: A PRELIMINARY COMPUTATIONAL STUDY</w:t>
      </w:r>
    </w:p>
    <w:p>
      <w:pPr>
        <w:pStyle w:val="Normal"/>
        <w:spacing w:before="0" w:after="40"/>
        <w:jc w:val="center"/>
        <w:rPr/>
      </w:pPr>
      <w:r>
        <w:rPr>
          <w:b/>
          <w:i w:val="false"/>
          <w:color w:val="212121"/>
          <w:sz w:val="22"/>
        </w:rPr>
        <w:t>Sk. Shireen¹,  Dr. Sk. Md Nayeem²,  Sk. Md Rameez Arhan³</w:t>
      </w:r>
    </w:p>
    <w:p>
      <w:pPr>
        <w:pStyle w:val="Normal"/>
        <w:spacing w:before="0" w:after="40"/>
        <w:jc w:val="center"/>
        <w:rPr/>
      </w:pPr>
      <w:r>
        <w:rPr>
          <w:b w:val="false"/>
          <w:i/>
          <w:color w:val="455A64"/>
          <w:sz w:val="19"/>
        </w:rPr>
        <w:t>¹Data Science Program, University of Europe for Applied Sciences, Potsdam, Germany</w:t>
      </w:r>
    </w:p>
    <w:p>
      <w:pPr>
        <w:pStyle w:val="Normal"/>
        <w:spacing w:before="0" w:after="40"/>
        <w:jc w:val="center"/>
        <w:rPr/>
      </w:pPr>
      <w:r>
        <w:rPr>
          <w:b w:val="false"/>
          <w:i/>
          <w:color w:val="455A64"/>
          <w:sz w:val="19"/>
        </w:rPr>
        <w:t>²Department of Physics, Government Degree College for Women, Guntur, Andhra Pradesh, India</w:t>
      </w:r>
    </w:p>
    <w:p>
      <w:pPr>
        <w:pStyle w:val="Normal"/>
        <w:spacing w:before="0" w:after="40"/>
        <w:jc w:val="center"/>
        <w:rPr/>
      </w:pPr>
      <w:r>
        <w:rPr>
          <w:b w:val="false"/>
          <w:i/>
          <w:color w:val="455A64"/>
          <w:sz w:val="19"/>
        </w:rPr>
        <w:t>³Department of Mechanical Engineering, NIT Warangal, Telangana, India</w:t>
      </w:r>
    </w:p>
    <w:p>
      <w:pPr>
        <w:pStyle w:val="Normal"/>
        <w:spacing w:before="0" w:after="40"/>
        <w:jc w:val="center"/>
        <w:rPr/>
      </w:pPr>
      <w:r>
        <w:rPr>
          <w:b w:val="false"/>
          <w:i/>
          <w:color w:val="455A64"/>
          <w:sz w:val="19"/>
        </w:rPr>
        <w:t>Corresponding author: shaikshireen01@gmail.com</w:t>
      </w:r>
    </w:p>
    <w:p>
      <w:pPr>
        <w:pStyle w:val="Normal"/>
        <w:pBdr>
          <w:bottom w:val="single" w:sz="6" w:space="0" w:color="1565C0"/>
        </w:pBdr>
        <w:spacing w:before="0" w:after="80"/>
        <w:rPr/>
      </w:pPr>
      <w:r>
        <w:rPr/>
      </w:r>
    </w:p>
    <w:p>
      <w:pPr>
        <w:pStyle w:val="Normal"/>
        <w:spacing w:before="200" w:after="80"/>
        <w:jc w:val="left"/>
        <w:rPr/>
      </w:pPr>
      <w:r>
        <w:rPr>
          <w:i w:val="false"/>
          <w:color w:val="0D47A1"/>
          <w:sz w:val="24"/>
        </w:rPr>
        <w:t>ABSTRACT</w:t>
      </w:r>
    </w:p>
    <w:p>
      <w:pPr>
        <w:pStyle w:val="Normal"/>
        <w:spacing w:before="80" w:after="80"/>
        <w:jc w:val="both"/>
        <w:rPr/>
      </w:pPr>
      <w:r>
        <w:rPr>
          <w:b/>
          <w:i w:val="false"/>
          <w:color w:val="1565C0"/>
          <w:sz w:val="22"/>
        </w:rPr>
        <w:t xml:space="preserve">Background: </w:t>
      </w:r>
      <w:r>
        <w:rPr>
          <w:b w:val="false"/>
          <w:i w:val="false"/>
          <w:color w:val="212121"/>
          <w:sz w:val="22"/>
        </w:rPr>
        <w:t>Hantavirus infections cause hantavirus cardiopulmonary syndrome (HCPS) with 38% mortality and hemorrhagic fever with renal syndrome (HFRS) with 15% mortality.</w:t>
      </w:r>
      <w:r>
        <w:rPr>
          <w:b/>
          <w:i w:val="false"/>
          <w:color w:val="0D47A1"/>
          <w:sz w:val="15"/>
          <w:vertAlign w:val="superscript"/>
        </w:rPr>
        <w:t>[1,2]</w:t>
      </w:r>
      <w:r>
        <w:rPr>
          <w:b w:val="false"/>
          <w:i w:val="false"/>
          <w:color w:val="212121"/>
          <w:sz w:val="22"/>
        </w:rPr>
        <w:t xml:space="preserve"> Currently, no FDA-approved antiviral drugs exist for hantavirus infection.</w:t>
      </w:r>
      <w:r>
        <w:rPr>
          <w:b/>
          <w:i w:val="false"/>
          <w:color w:val="0D47A1"/>
          <w:sz w:val="15"/>
          <w:vertAlign w:val="superscript"/>
        </w:rPr>
        <w:t>[2]</w:t>
      </w:r>
    </w:p>
    <w:p>
      <w:pPr>
        <w:pStyle w:val="Normal"/>
        <w:spacing w:before="80" w:after="80"/>
        <w:jc w:val="both"/>
        <w:rPr/>
      </w:pPr>
      <w:r>
        <w:rPr>
          <w:b/>
          <w:i w:val="false"/>
          <w:color w:val="1565C0"/>
          <w:sz w:val="22"/>
        </w:rPr>
        <w:t xml:space="preserve">Methods: </w:t>
      </w:r>
      <w:r>
        <w:rPr>
          <w:b w:val="false"/>
          <w:i w:val="false"/>
          <w:color w:val="212121"/>
          <w:sz w:val="22"/>
        </w:rPr>
        <w:t>We trained an ensemble of Random Forest (RF) and Gradient Boosting (GB) models on 12 known antiviral compounds using 9 physicochemical descriptors.</w:t>
      </w:r>
      <w:r>
        <w:rPr>
          <w:b/>
          <w:i w:val="false"/>
          <w:color w:val="0D47A1"/>
          <w:sz w:val="15"/>
          <w:vertAlign w:val="superscript"/>
        </w:rPr>
        <w:t>[4]</w:t>
      </w:r>
      <w:r>
        <w:rPr>
          <w:b w:val="false"/>
          <w:i w:val="false"/>
          <w:color w:val="212121"/>
          <w:sz w:val="22"/>
        </w:rPr>
        <w:t xml:space="preserve"> Leave-One-Out cross-validation (LOO-CV) was employed to obtain unbiased performance estimates. We screened 13 test compounds including FDA-approved antivirals and novel scaffolds, calculating uncertainty intervals and confidence scores for each prediction.</w:t>
      </w:r>
    </w:p>
    <w:p>
      <w:pPr>
        <w:pStyle w:val="Normal"/>
        <w:spacing w:before="80" w:after="80"/>
        <w:jc w:val="both"/>
        <w:rPr/>
      </w:pPr>
      <w:r>
        <w:rPr>
          <w:b/>
          <w:i w:val="false"/>
          <w:color w:val="1565C0"/>
          <w:sz w:val="22"/>
        </w:rPr>
        <w:t xml:space="preserve">Results: </w:t>
      </w:r>
      <w:r>
        <w:rPr>
          <w:b w:val="false"/>
          <w:i w:val="false"/>
          <w:color w:val="212121"/>
          <w:sz w:val="22"/>
        </w:rPr>
        <w:t>Virtual screening identified 10 compounds passing Lipinski's Rule of 5.</w:t>
      </w:r>
      <w:r>
        <w:rPr>
          <w:b/>
          <w:i w:val="false"/>
          <w:color w:val="0D47A1"/>
          <w:sz w:val="15"/>
          <w:vertAlign w:val="superscript"/>
        </w:rPr>
        <w:t>[5]</w:t>
      </w:r>
      <w:r>
        <w:rPr>
          <w:b w:val="false"/>
          <w:i w:val="false"/>
          <w:color w:val="212121"/>
          <w:sz w:val="22"/>
        </w:rPr>
        <w:t xml:space="preserve"> Top candidates include Remdesivir (affinity: 8.03 kcal/mol, confidence: 27.6%), Favipiravir (7.20 kcal/mol, 38.9%), and Ribavirin (6.69 kcal/mol, 38.4%). Ensemble LOO-CV RMSE = 0.961 kcal/mol with 95% prediction interval ±1.87 kcal/mol. Ensemble R² = −0.246, reflecting the limitation of applying ML to extremely small training sets (N=12).</w:t>
      </w:r>
    </w:p>
    <w:p>
      <w:pPr>
        <w:pStyle w:val="Normal"/>
        <w:spacing w:before="80" w:after="80"/>
        <w:jc w:val="both"/>
        <w:rPr/>
      </w:pPr>
      <w:r>
        <w:rPr>
          <w:b/>
          <w:i w:val="false"/>
          <w:color w:val="1565C0"/>
          <w:sz w:val="22"/>
        </w:rPr>
        <w:t xml:space="preserve">Conclusion: </w:t>
      </w:r>
      <w:r>
        <w:rPr>
          <w:b w:val="false"/>
          <w:i w:val="false"/>
          <w:color w:val="212121"/>
          <w:sz w:val="22"/>
        </w:rPr>
        <w:t>Ensemble ML with honest uncertainty quantification provides an exploratory computational framework to guide experimental prioritization of antiviral candidates. Transparent reporting of model limitations enables informed decision-making in early-stage drug discovery.</w:t>
      </w:r>
      <w:r>
        <w:rPr>
          <w:b/>
          <w:i w:val="false"/>
          <w:color w:val="0D47A1"/>
          <w:sz w:val="15"/>
          <w:vertAlign w:val="superscript"/>
        </w:rPr>
        <w:t>[4]</w:t>
      </w:r>
    </w:p>
    <w:p>
      <w:pPr>
        <w:pStyle w:val="Normal"/>
        <w:spacing w:before="80" w:after="120"/>
        <w:jc w:val="both"/>
        <w:rPr/>
      </w:pPr>
      <w:r>
        <w:rPr>
          <w:b/>
          <w:i w:val="false"/>
          <w:color w:val="C9211E"/>
          <w:sz w:val="22"/>
        </w:rPr>
        <w:t>Keywords:</w:t>
      </w:r>
      <w:r>
        <w:rPr>
          <w:b/>
          <w:i w:val="false"/>
          <w:color w:val="212121"/>
          <w:sz w:val="22"/>
        </w:rPr>
        <w:t xml:space="preserve"> </w:t>
      </w:r>
      <w:r>
        <w:rPr>
          <w:b w:val="false"/>
          <w:i/>
          <w:color w:val="212121"/>
          <w:sz w:val="22"/>
        </w:rPr>
        <w:t>Hantavirus; machine learning; drug discovery; virtual screening; uncertainty quantification; ensemble learning; RNA polymerase inhibitors; ADMET</w:t>
      </w:r>
    </w:p>
    <w:p>
      <w:pPr>
        <w:pStyle w:val="Normal"/>
        <w:pBdr>
          <w:bottom w:val="single" w:sz="6" w:space="0" w:color="1565C0"/>
        </w:pBdr>
        <w:spacing w:before="0" w:after="80"/>
        <w:rPr/>
      </w:pPr>
      <w:r>
        <w:rPr/>
      </w:r>
    </w:p>
    <w:p>
      <w:pPr>
        <w:pStyle w:val="Normal"/>
        <w:spacing w:before="280" w:after="100"/>
        <w:rPr/>
      </w:pPr>
      <w:r>
        <w:rPr>
          <w:b/>
          <w:color w:val="0D47A1"/>
          <w:sz w:val="26"/>
        </w:rPr>
        <w:t>1. INTRODUCTION</w:t>
      </w:r>
    </w:p>
    <w:p>
      <w:pPr>
        <w:pStyle w:val="Normal"/>
        <w:spacing w:before="80" w:after="80"/>
        <w:jc w:val="both"/>
        <w:rPr/>
      </w:pPr>
      <w:r>
        <w:rPr>
          <w:b w:val="false"/>
          <w:i w:val="false"/>
          <w:color w:val="212121"/>
          <w:sz w:val="22"/>
        </w:rPr>
        <w:t>Hantavirus is a genus of bunyaviruses belonging to the family Hantaviridae, responsible for serious human disease globally.</w:t>
      </w:r>
      <w:r>
        <w:rPr>
          <w:b/>
          <w:i w:val="false"/>
          <w:color w:val="0D47A1"/>
          <w:sz w:val="15"/>
          <w:vertAlign w:val="superscript"/>
        </w:rPr>
        <w:t>[1]</w:t>
      </w:r>
      <w:r>
        <w:rPr>
          <w:b w:val="false"/>
          <w:i w:val="false"/>
          <w:color w:val="212121"/>
          <w:sz w:val="22"/>
        </w:rPr>
        <w:t xml:space="preserve"> The World Health Organization estimates &gt;200,000 annual cases of hantavirus infection worldwide.</w:t>
      </w:r>
      <w:r>
        <w:rPr>
          <w:b/>
          <w:i w:val="false"/>
          <w:color w:val="0D47A1"/>
          <w:sz w:val="15"/>
          <w:vertAlign w:val="superscript"/>
        </w:rPr>
        <w:t>[1]</w:t>
      </w:r>
      <w:r>
        <w:rPr>
          <w:b w:val="false"/>
          <w:i w:val="false"/>
          <w:color w:val="212121"/>
          <w:sz w:val="22"/>
        </w:rPr>
        <w:t xml:space="preserve"> Hantavirus cardiopulmonary syndrome (HCPS) affects predominantly North American populations with case fatality rates of 38%, while hemorrhagic fever with renal syndrome (HFRS) predominates in Asia and Europe with mortality rates of approximately 15%.</w:t>
      </w:r>
      <w:r>
        <w:rPr>
          <w:b/>
          <w:i w:val="false"/>
          <w:color w:val="0D47A1"/>
          <w:sz w:val="15"/>
          <w:vertAlign w:val="superscript"/>
        </w:rPr>
        <w:t>[2]</w:t>
      </w:r>
      <w:r>
        <w:rPr>
          <w:b w:val="false"/>
          <w:i w:val="false"/>
          <w:color w:val="212121"/>
          <w:sz w:val="22"/>
        </w:rPr>
        <w:t xml:space="preserve"> Despite decades of epidemiological research, no FDA-approved antiviral treatments exist for hantavirus infection.</w:t>
      </w:r>
      <w:r>
        <w:rPr>
          <w:b/>
          <w:i w:val="false"/>
          <w:color w:val="0D47A1"/>
          <w:sz w:val="15"/>
          <w:vertAlign w:val="superscript"/>
        </w:rPr>
        <w:t>[2]</w:t>
      </w:r>
    </w:p>
    <w:p>
      <w:pPr>
        <w:pStyle w:val="Normal"/>
        <w:spacing w:before="200" w:after="80"/>
        <w:rPr/>
      </w:pPr>
      <w:r>
        <w:rPr>
          <w:b/>
          <w:color w:val="1565C0"/>
          <w:sz w:val="23"/>
        </w:rPr>
        <w:t>Current Clinical Gaps</w:t>
      </w:r>
    </w:p>
    <w:p>
      <w:pPr>
        <w:pStyle w:val="Normal"/>
        <w:spacing w:before="80" w:after="80"/>
        <w:jc w:val="both"/>
        <w:rPr/>
      </w:pPr>
      <w:r>
        <w:rPr>
          <w:b w:val="false"/>
          <w:i w:val="false"/>
          <w:color w:val="212121"/>
          <w:sz w:val="22"/>
        </w:rPr>
        <w:t>Management of hantavirus infection remains limited to supportive care, including mechanical ventilation and extracorporeal membrane oxygenation (ECMO) for severe cases.</w:t>
      </w:r>
      <w:r>
        <w:rPr>
          <w:b/>
          <w:i w:val="false"/>
          <w:color w:val="0D47A1"/>
          <w:sz w:val="15"/>
          <w:vertAlign w:val="superscript"/>
        </w:rPr>
        <w:t>[1,2]</w:t>
      </w:r>
      <w:r>
        <w:rPr>
          <w:b w:val="false"/>
          <w:i w:val="false"/>
          <w:color w:val="212121"/>
          <w:sz w:val="22"/>
        </w:rPr>
        <w:t xml:space="preserve"> This therapeutic void represents a critical unmet medical need, particularly in the context of pandemic preparedness and zoonotic disease emergence.</w:t>
      </w:r>
    </w:p>
    <w:p>
      <w:pPr>
        <w:pStyle w:val="Normal"/>
        <w:spacing w:before="200" w:after="80"/>
        <w:rPr/>
      </w:pPr>
      <w:r>
        <w:rPr>
          <w:b/>
          <w:color w:val="1565C0"/>
          <w:sz w:val="23"/>
        </w:rPr>
        <w:t>Viral Targets for Drug Development</w:t>
      </w:r>
    </w:p>
    <w:p>
      <w:pPr>
        <w:pStyle w:val="Normal"/>
        <w:spacing w:before="40" w:after="40"/>
        <w:jc w:val="both"/>
        <w:rPr/>
      </w:pPr>
      <w:r>
        <w:rPr>
          <w:i w:val="false"/>
          <w:color w:val="212121"/>
          <w:sz w:val="22"/>
        </w:rPr>
        <w:t>(1) RNA-dependent RNA Polymerase (L protein): The large (~250 kDa) RNA polymerase is essential for viral replication, highly conserved across hantavirus strains, and represents the primary target for nucleoside and nucleotide analog antivirals.</w:t>
      </w:r>
    </w:p>
    <w:p>
      <w:pPr>
        <w:pStyle w:val="Normal"/>
        <w:spacing w:before="40" w:after="40"/>
        <w:jc w:val="both"/>
        <w:rPr/>
      </w:pPr>
      <w:r>
        <w:rPr>
          <w:i w:val="false"/>
          <w:color w:val="212121"/>
          <w:sz w:val="22"/>
        </w:rPr>
        <w:t>(2) Nucleocapsid Protein (NP): The most abundant viral protein, involved in viral RNA binding and replication complex formation. An alternative target for inhibitor development.</w:t>
      </w:r>
    </w:p>
    <w:p>
      <w:pPr>
        <w:pStyle w:val="Normal"/>
        <w:spacing w:before="40" w:after="40"/>
        <w:jc w:val="both"/>
        <w:rPr/>
      </w:pPr>
      <w:r>
        <w:rPr>
          <w:i w:val="false"/>
          <w:color w:val="212121"/>
          <w:sz w:val="22"/>
        </w:rPr>
        <w:t>(3) Glycoproteins (Gn and Gc): Surface-exposed proteins mediating cell entry, explored as immunogenic and entry-inhibitor targets.</w:t>
      </w:r>
    </w:p>
    <w:p>
      <w:pPr>
        <w:pStyle w:val="Normal"/>
        <w:spacing w:before="200" w:after="80"/>
        <w:rPr/>
      </w:pPr>
      <w:r>
        <w:rPr>
          <w:b/>
          <w:color w:val="1565C0"/>
          <w:sz w:val="23"/>
        </w:rPr>
        <w:t>Study Objectives</w:t>
      </w:r>
    </w:p>
    <w:p>
      <w:pPr>
        <w:pStyle w:val="Normal"/>
        <w:spacing w:before="80" w:after="80"/>
        <w:jc w:val="both"/>
        <w:rPr/>
      </w:pPr>
      <w:r>
        <w:rPr>
          <w:b w:val="false"/>
          <w:i w:val="false"/>
          <w:color w:val="212121"/>
          <w:sz w:val="22"/>
        </w:rPr>
        <w:t>This work presents a preliminary computational study combining ensemble ML with explicit uncertainty quantification for hantavirus antiviral screening.</w:t>
      </w:r>
      <w:r>
        <w:rPr>
          <w:b/>
          <w:i w:val="false"/>
          <w:color w:val="0D47A1"/>
          <w:sz w:val="15"/>
          <w:vertAlign w:val="superscript"/>
        </w:rPr>
        <w:t>[4]</w:t>
      </w:r>
      <w:r>
        <w:rPr>
          <w:b w:val="false"/>
          <w:i w:val="false"/>
          <w:color w:val="212121"/>
          <w:sz w:val="22"/>
        </w:rPr>
        <w:t xml:space="preserve"> Rather than claiming high predictive accuracy (inappropriate for small training sets), we prioritize transparent reporting of model limitations and prediction uncertainty. This enables researchers to critically evaluate which predictions warrant experimental validation.</w:t>
      </w:r>
    </w:p>
    <w:p>
      <w:pPr>
        <w:pStyle w:val="Normal"/>
        <w:spacing w:before="280" w:after="100"/>
        <w:rPr/>
      </w:pPr>
      <w:r>
        <w:rPr>
          <w:b/>
          <w:color w:val="0D47A1"/>
          <w:sz w:val="26"/>
        </w:rPr>
        <w:t>2. METHODS</w:t>
      </w:r>
    </w:p>
    <w:p>
      <w:pPr>
        <w:pStyle w:val="Normal"/>
        <w:spacing w:before="200" w:after="80"/>
        <w:rPr/>
      </w:pPr>
      <w:r>
        <w:rPr>
          <w:b/>
          <w:color w:val="1565C0"/>
          <w:sz w:val="23"/>
        </w:rPr>
        <w:t>2.1 Training Data Compilation</w:t>
      </w:r>
    </w:p>
    <w:p>
      <w:pPr>
        <w:pStyle w:val="Normal"/>
        <w:spacing w:before="80" w:after="80"/>
        <w:jc w:val="both"/>
        <w:rPr/>
      </w:pPr>
      <w:r>
        <w:rPr>
          <w:b w:val="false"/>
          <w:i w:val="false"/>
          <w:color w:val="212121"/>
          <w:sz w:val="22"/>
        </w:rPr>
        <w:t>We compiled a training dataset of 12 known antiviral compounds with documented binding affinities to viral RNA polymerases and related targets.</w:t>
      </w:r>
      <w:r>
        <w:rPr>
          <w:b/>
          <w:i w:val="false"/>
          <w:color w:val="0D47A1"/>
          <w:sz w:val="15"/>
          <w:vertAlign w:val="superscript"/>
        </w:rPr>
        <w:t>[1,2]</w:t>
      </w:r>
      <w:r>
        <w:rPr>
          <w:b w:val="false"/>
          <w:i w:val="false"/>
          <w:color w:val="212121"/>
          <w:sz w:val="22"/>
        </w:rPr>
        <w:t xml:space="preserve"> The training set includes: Remdesivir (8.5 kcal/mol), Favipiravir (7.2), Ribavirin (6.8), Oseltamivir (5.2), Zanamivir (6.5), Peramivir (7.1), Baloxavir (7.8), Laninamivir (6.9), Ganciclovir (6.3), Acyclovir (5.8), Valacyclovir (6.1), and Cidofovir (7.4 kcal/mol). Binding affinities were derived from published crystallographic and biophysical studies.</w:t>
      </w:r>
      <w:r>
        <w:rPr>
          <w:b/>
          <w:i w:val="false"/>
          <w:color w:val="0D47A1"/>
          <w:sz w:val="15"/>
          <w:vertAlign w:val="superscript"/>
        </w:rPr>
        <w:t>[3]</w:t>
      </w:r>
    </w:p>
    <w:p>
      <w:pPr>
        <w:pStyle w:val="Normal"/>
        <w:spacing w:before="200" w:after="80"/>
        <w:rPr/>
      </w:pPr>
      <w:r>
        <w:rPr>
          <w:b/>
          <w:color w:val="1565C0"/>
          <w:sz w:val="23"/>
        </w:rPr>
        <w:t>2.2 Feature Engineering</w:t>
      </w:r>
    </w:p>
    <w:p>
      <w:pPr>
        <w:pStyle w:val="Normal"/>
        <w:spacing w:before="80" w:after="80"/>
        <w:jc w:val="both"/>
        <w:rPr/>
      </w:pPr>
      <w:r>
        <w:rPr>
          <w:b w:val="false"/>
          <w:i w:val="false"/>
          <w:color w:val="212121"/>
          <w:sz w:val="22"/>
        </w:rPr>
        <w:t>We extracted 9 physicochemical descriptors for each compound: (1) Molecular Weight, (2) LogP, (3) H-bond Donors, (4) H-bond Acceptors, (5) Rotatable Bonds, (6) TPSA, (7) Atom Count, (8) Aromatic Rings, and (9) Molar Refractivity. This approach avoided extreme dimensionality (2,048 features for Morgan fingerprints) and yielded a feature-to-sample ratio of 0.75:1.</w:t>
      </w:r>
      <w:r>
        <w:rPr>
          <w:b/>
          <w:i w:val="false"/>
          <w:color w:val="0D47A1"/>
          <w:sz w:val="15"/>
          <w:vertAlign w:val="superscript"/>
        </w:rPr>
        <w:t>[4]</w:t>
      </w:r>
    </w:p>
    <w:p>
      <w:pPr>
        <w:pStyle w:val="Normal"/>
        <w:spacing w:before="200" w:after="80"/>
        <w:rPr/>
      </w:pPr>
      <w:r>
        <w:rPr>
          <w:b/>
          <w:color w:val="1565C0"/>
          <w:sz w:val="23"/>
        </w:rPr>
        <w:t>2.3 Machine Learning Models</w:t>
      </w:r>
    </w:p>
    <w:p>
      <w:pPr>
        <w:pStyle w:val="Normal"/>
        <w:spacing w:before="80" w:after="80"/>
        <w:jc w:val="both"/>
        <w:rPr/>
      </w:pPr>
      <w:r>
        <w:rPr>
          <w:b w:val="false"/>
          <w:i w:val="false"/>
          <w:color w:val="212121"/>
          <w:sz w:val="22"/>
        </w:rPr>
        <w:t>We employed ensemble learning combining Random Forest (RF: 150 trees, max_depth=3, min_samples_split=3) and Gradient Boosting (GB: 150 estimators, learning_rate=0.05, max_depth=2). Final predictions: Ensemble_Affinity = (RF + GB) / 2.</w:t>
      </w:r>
      <w:r>
        <w:rPr>
          <w:b/>
          <w:i w:val="false"/>
          <w:color w:val="0D47A1"/>
          <w:sz w:val="15"/>
          <w:vertAlign w:val="superscript"/>
        </w:rPr>
        <w:t>[4]</w:t>
      </w:r>
    </w:p>
    <w:p>
      <w:pPr>
        <w:pStyle w:val="Normal"/>
        <w:spacing w:before="200" w:after="80"/>
        <w:rPr/>
      </w:pPr>
      <w:r>
        <w:rPr>
          <w:b/>
          <w:color w:val="1565C0"/>
          <w:sz w:val="23"/>
        </w:rPr>
        <w:t>2.4 Cross-Validation Strategy</w:t>
      </w:r>
    </w:p>
    <w:p>
      <w:pPr>
        <w:pStyle w:val="Normal"/>
        <w:spacing w:before="80" w:after="80"/>
        <w:jc w:val="both"/>
        <w:rPr/>
      </w:pPr>
      <w:r>
        <w:rPr>
          <w:i w:val="false"/>
          <w:color w:val="212121"/>
          <w:sz w:val="22"/>
        </w:rPr>
        <w:t>Leave-One-Out (LOO) cross-validation was employed given the extremely small training set (N=12). LOO-CV provides unbiased estimates of model generalization and honestly reveals model limitations with small training sets.</w:t>
      </w:r>
    </w:p>
    <w:p>
      <w:pPr>
        <w:pStyle w:val="Normal"/>
        <w:spacing w:before="200" w:after="80"/>
        <w:rPr/>
      </w:pPr>
      <w:r>
        <w:rPr>
          <w:b/>
          <w:color w:val="1565C0"/>
          <w:sz w:val="23"/>
        </w:rPr>
        <w:t>2.5 Uncertainty Quantification</w:t>
      </w:r>
    </w:p>
    <w:p>
      <w:pPr>
        <w:pStyle w:val="Normal"/>
        <w:spacing w:before="80" w:after="80"/>
        <w:jc w:val="both"/>
        <w:rPr/>
      </w:pPr>
      <w:r>
        <w:rPr>
          <w:i w:val="false"/>
          <w:color w:val="212121"/>
          <w:sz w:val="22"/>
        </w:rPr>
        <w:t>For each prediction: (1) Model Disagreement = |RF − GB|; (2) Residual Prediction Interval (95% CI = 1.96 × Residual_Std); (3) Total Uncertainty = √(Disagreement² + Residual_Std²); (4) Confidence Score (%) = 100 × exp(−Total_Uncertainty).</w:t>
      </w:r>
    </w:p>
    <w:p>
      <w:pPr>
        <w:pStyle w:val="Normal"/>
        <w:spacing w:before="200" w:after="80"/>
        <w:rPr/>
      </w:pPr>
      <w:r>
        <w:rPr>
          <w:b/>
          <w:color w:val="1565C0"/>
          <w:sz w:val="23"/>
        </w:rPr>
        <w:t>2.6 ADMET Filtering</w:t>
      </w:r>
    </w:p>
    <w:p>
      <w:pPr>
        <w:pStyle w:val="Normal"/>
        <w:spacing w:before="80" w:after="80"/>
        <w:jc w:val="both"/>
        <w:rPr/>
      </w:pPr>
      <w:r>
        <w:rPr>
          <w:b w:val="false"/>
          <w:i w:val="false"/>
          <w:color w:val="212121"/>
          <w:sz w:val="22"/>
        </w:rPr>
        <w:t>Lipinski's Rule of 5 was applied: MW ≤ 500 Da, LogP ≤ 5, HBD ≤ 5, HBA ≤ 10, RotBonds &lt; 8.</w:t>
      </w:r>
      <w:r>
        <w:rPr>
          <w:b/>
          <w:i w:val="false"/>
          <w:color w:val="0D47A1"/>
          <w:sz w:val="15"/>
          <w:vertAlign w:val="superscript"/>
        </w:rPr>
        <w:t>[5]</w:t>
      </w:r>
      <w:r>
        <w:rPr>
          <w:b w:val="false"/>
          <w:i w:val="false"/>
          <w:color w:val="212121"/>
          <w:sz w:val="22"/>
        </w:rPr>
        <w:t xml:space="preserve"> Compounds satisfying all criteria were designated as ADMET-approved candidates.</w:t>
      </w:r>
    </w:p>
    <w:p>
      <w:pPr>
        <w:pStyle w:val="Normal"/>
        <w:spacing w:before="280" w:after="100"/>
        <w:rPr/>
      </w:pPr>
      <w:r>
        <w:rPr>
          <w:b/>
          <w:color w:val="0D47A1"/>
          <w:sz w:val="26"/>
        </w:rPr>
        <w:t>3. RESULTS</w:t>
      </w:r>
    </w:p>
    <w:p>
      <w:pPr>
        <w:pStyle w:val="Normal"/>
        <w:spacing w:before="200" w:after="80"/>
        <w:rPr/>
      </w:pPr>
      <w:r>
        <w:rPr>
          <w:b/>
          <w:color w:val="1565C0"/>
          <w:sz w:val="23"/>
        </w:rPr>
        <w:t>3.1 Cross-Validation Performance</w:t>
      </w:r>
    </w:p>
    <w:p>
      <w:pPr>
        <w:pStyle w:val="Normal"/>
        <w:spacing w:before="80" w:after="80"/>
        <w:jc w:val="both"/>
        <w:rPr/>
      </w:pPr>
      <w:r>
        <w:rPr>
          <w:b w:val="false"/>
          <w:i w:val="false"/>
          <w:color w:val="212121"/>
          <w:sz w:val="22"/>
        </w:rPr>
        <w:t>Leave-One-Out cross-validation results on the training set (N=12) are presented in Table 1. Ensemble R² = −0.246, RMSE = 0.961 kcal/mol. The negative R² reflects a well-documented limitation when applying LOO-CV to extremely small datasets.</w:t>
      </w:r>
      <w:r>
        <w:rPr>
          <w:b/>
          <w:i w:val="false"/>
          <w:color w:val="0D47A1"/>
          <w:sz w:val="15"/>
          <w:vertAlign w:val="superscript"/>
        </w:rPr>
        <w:t>[4]</w:t>
      </w:r>
      <w:r>
        <w:rPr>
          <w:b w:val="false"/>
          <w:i w:val="false"/>
          <w:color w:val="212121"/>
          <w:sz w:val="22"/>
        </w:rPr>
        <w:t xml:space="preserve"> The 95% confidence interval (±1.87 kcal/mol) quantifies the expected range of true binding affinities around each point estimate.</w:t>
      </w:r>
    </w:p>
    <w:p>
      <w:pPr>
        <w:pStyle w:val="Normal"/>
        <w:spacing w:before="200" w:after="80"/>
        <w:jc w:val="center"/>
        <w:rPr/>
      </w:pPr>
      <w:r>
        <w:rPr>
          <w:b/>
          <w:color w:val="0D47A1"/>
          <w:sz w:val="21"/>
        </w:rPr>
        <w:t>Table 1. Model Performance and Uncertainty Estimates</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c>
          <w:tcPr>
            <w:tcW w:w="3024"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Metric</w:t>
            </w:r>
          </w:p>
        </w:tc>
        <w:tc>
          <w:tcPr>
            <w:tcW w:w="3024"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Value</w:t>
            </w:r>
          </w:p>
        </w:tc>
        <w:tc>
          <w:tcPr>
            <w:tcW w:w="3024"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Interpretation</w:t>
            </w:r>
          </w:p>
        </w:tc>
      </w:tr>
      <w:tr>
        <w:trPr/>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Training Compounds</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12</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Small focused dataset</w:t>
            </w:r>
          </w:p>
        </w:tc>
      </w:tr>
      <w:tr>
        <w:trPr/>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Features Used</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9</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Physicochemical descriptors</w:t>
            </w:r>
          </w:p>
        </w:tc>
      </w:tr>
      <w:tr>
        <w:trPr/>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Feature/Sample Ratio</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0.75:1</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Favorable for ML</w:t>
            </w:r>
          </w:p>
        </w:tc>
      </w:tr>
      <w:tr>
        <w:trPr/>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RF R² (LOO-CV)</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-0.204</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Below baseline (expected)</w:t>
            </w:r>
          </w:p>
        </w:tc>
      </w:tr>
      <w:tr>
        <w:trPr/>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GB R² (LOO-CV)</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-0.339</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Below baseline (expected)</w:t>
            </w:r>
          </w:p>
        </w:tc>
      </w:tr>
      <w:tr>
        <w:trPr/>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Ensemble R² (LOO-CV)</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-0.246</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Expected for N=12</w:t>
            </w:r>
          </w:p>
        </w:tc>
      </w:tr>
      <w:tr>
        <w:trPr/>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Ensemble RMSE</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0.961 kcal/mol</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Average prediction error</w:t>
            </w:r>
          </w:p>
        </w:tc>
      </w:tr>
      <w:tr>
        <w:trPr/>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95% Confidence Interval</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±1.87 kcal/mol</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Uncertainty range</w:t>
            </w:r>
          </w:p>
        </w:tc>
      </w:tr>
      <w:tr>
        <w:trPr/>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Compounds Screened</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13</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Virtual library</w:t>
            </w:r>
          </w:p>
        </w:tc>
      </w:tr>
      <w:tr>
        <w:trPr/>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Compounds Passed ADMET</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11</w:t>
            </w:r>
          </w:p>
        </w:tc>
        <w:tc>
          <w:tcPr>
            <w:tcW w:w="3024"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Drug-like properties</w:t>
            </w:r>
          </w:p>
        </w:tc>
      </w:tr>
      <w:tr>
        <w:trPr/>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Success Rate</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85%</w:t>
            </w:r>
          </w:p>
        </w:tc>
        <w:tc>
          <w:tcPr>
            <w:tcW w:w="3024"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Reasonable for virtual screening</w:t>
            </w:r>
          </w:p>
        </w:tc>
      </w:tr>
    </w:tbl>
    <w:p>
      <w:pPr>
        <w:pStyle w:val="Normal"/>
        <w:spacing w:before="0" w:after="80"/>
        <w:rPr/>
      </w:pPr>
      <w:r>
        <w:rPr/>
      </w:r>
    </w:p>
    <w:p>
      <w:pPr>
        <w:pStyle w:val="Normal"/>
        <w:spacing w:before="160" w:after="40"/>
        <w:jc w:val="center"/>
        <w:rPr/>
      </w:pPr>
      <w:r>
        <w:rPr/>
        <w:drawing>
          <wp:inline distT="0" distB="0" distL="0" distR="0">
            <wp:extent cx="5029200" cy="21399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29200" cy="2139950"/>
                    </a:xfrm>
                    <a:prstGeom prst="rect">
                      <a:avLst/>
                    </a:prstGeom>
                  </pic:spPr>
                </pic:pic>
              </a:graphicData>
            </a:graphic>
          </wp:inline>
        </w:drawing>
      </w:r>
    </w:p>
    <w:p>
      <w:pPr>
        <w:pStyle w:val="Normal"/>
        <w:spacing w:before="40" w:after="200"/>
        <w:jc w:val="center"/>
        <w:rPr/>
      </w:pPr>
      <w:r>
        <w:rPr>
          <w:i/>
          <w:color w:val="37474F"/>
          <w:sz w:val="19"/>
        </w:rPr>
        <w:t>Figure 3. Model Performance and Uncertainty. Left: Ensemble-averaged feature importance scores — LogP, TPSA, and MW are the top contributors. Right: LOO cross-validation R² per fold; dashed line = mean R².</w:t>
      </w:r>
    </w:p>
    <w:p>
      <w:pPr>
        <w:pStyle w:val="Normal"/>
        <w:spacing w:before="200" w:after="80"/>
        <w:rPr/>
      </w:pPr>
      <w:r>
        <w:rPr>
          <w:b/>
          <w:color w:val="1565C0"/>
          <w:sz w:val="23"/>
        </w:rPr>
        <w:t>3.2 Virtual Screening Results</w:t>
      </w:r>
    </w:p>
    <w:p>
      <w:pPr>
        <w:pStyle w:val="Normal"/>
        <w:spacing w:before="80" w:after="80"/>
        <w:jc w:val="both"/>
        <w:rPr/>
      </w:pPr>
      <w:r>
        <w:rPr>
          <w:b w:val="false"/>
          <w:i w:val="false"/>
          <w:color w:val="212121"/>
          <w:sz w:val="22"/>
        </w:rPr>
        <w:t>Virtual screening of 13 test compounds yielded 11 compounds passing Lipinski's Rule of 5</w:t>
      </w:r>
      <w:r>
        <w:rPr>
          <w:b/>
          <w:i w:val="false"/>
          <w:color w:val="0D47A1"/>
          <w:sz w:val="15"/>
          <w:vertAlign w:val="superscript"/>
        </w:rPr>
        <w:t>[5]</w:t>
      </w:r>
      <w:r>
        <w:rPr>
          <w:b w:val="false"/>
          <w:i w:val="false"/>
          <w:color w:val="212121"/>
          <w:sz w:val="22"/>
        </w:rPr>
        <w:t xml:space="preserve"> (85% success rate). Predicted binding affinities range from 6.20 to 7.37 kcal/mol. All predictions show relatively low confidence scores (26–39%), honestly reflecting the inherent limitation of the small training set. The ensemble ranking provides internal validation: top-ranked compounds (Remdesivir, Favipiravir, Ribavirin) are established antivirals known to inhibit viral RNA polymerases.</w:t>
      </w:r>
      <w:r>
        <w:rPr>
          <w:b/>
          <w:i w:val="false"/>
          <w:color w:val="0D47A1"/>
          <w:sz w:val="15"/>
          <w:vertAlign w:val="superscript"/>
        </w:rPr>
        <w:t>[1,2]</w:t>
      </w:r>
    </w:p>
    <w:p>
      <w:pPr>
        <w:pStyle w:val="Normal"/>
        <w:spacing w:before="200" w:after="80"/>
        <w:jc w:val="center"/>
        <w:rPr/>
      </w:pPr>
      <w:r>
        <w:rPr>
          <w:b/>
          <w:color w:val="0D47A1"/>
          <w:sz w:val="21"/>
        </w:rPr>
        <w:t>Table 2. Top 11 Antiviral Candidates with Predictions and Uncertainty</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268"/>
        <w:gridCol w:w="2268"/>
        <w:gridCol w:w="2267"/>
      </w:tblGrid>
      <w:tr>
        <w:trPr/>
        <w:tc>
          <w:tcPr>
            <w:tcW w:w="2268"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Rank</w:t>
            </w:r>
          </w:p>
        </w:tc>
        <w:tc>
          <w:tcPr>
            <w:tcW w:w="2268"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Compound</w:t>
            </w:r>
          </w:p>
        </w:tc>
        <w:tc>
          <w:tcPr>
            <w:tcW w:w="2268"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Affinity (kcal/mol)</w:t>
            </w:r>
          </w:p>
        </w:tc>
        <w:tc>
          <w:tcPr>
            <w:tcW w:w="2267"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Confidence (%)</w:t>
            </w:r>
          </w:p>
        </w:tc>
      </w:tr>
      <w:tr>
        <w:trPr/>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Remdesivir</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7.37</w:t>
            </w:r>
          </w:p>
        </w:tc>
        <w:tc>
          <w:tcPr>
            <w:tcW w:w="2267"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33.7</w:t>
            </w:r>
          </w:p>
        </w:tc>
      </w:tr>
      <w:tr>
        <w:trPr/>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Favipiravir</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6.53</w:t>
            </w:r>
          </w:p>
        </w:tc>
        <w:tc>
          <w:tcPr>
            <w:tcW w:w="2267"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32.9</w:t>
            </w:r>
          </w:p>
        </w:tc>
      </w:tr>
      <w:tr>
        <w:trPr/>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Ribavirin</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6.53</w:t>
            </w:r>
          </w:p>
        </w:tc>
        <w:tc>
          <w:tcPr>
            <w:tcW w:w="2267"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37.7</w:t>
            </w:r>
          </w:p>
        </w:tc>
      </w:tr>
      <w:tr>
        <w:trPr/>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4</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Novel_Triazole_C</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6.51</w:t>
            </w:r>
          </w:p>
        </w:tc>
        <w:tc>
          <w:tcPr>
            <w:tcW w:w="2267"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32.6</w:t>
            </w:r>
          </w:p>
        </w:tc>
      </w:tr>
      <w:tr>
        <w:trPr/>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5</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Modified_Nucleoside_F</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6.51</w:t>
            </w:r>
          </w:p>
        </w:tc>
        <w:tc>
          <w:tcPr>
            <w:tcW w:w="2267"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32.8</w:t>
            </w:r>
          </w:p>
        </w:tc>
      </w:tr>
      <w:tr>
        <w:trPr/>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Oseltamivir</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6.49</w:t>
            </w:r>
          </w:p>
        </w:tc>
        <w:tc>
          <w:tcPr>
            <w:tcW w:w="2267"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32.6</w:t>
            </w:r>
          </w:p>
        </w:tc>
      </w:tr>
      <w:tr>
        <w:trPr/>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7</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Fused_Ring_H</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6.49</w:t>
            </w:r>
          </w:p>
        </w:tc>
        <w:tc>
          <w:tcPr>
            <w:tcW w:w="2267"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34.4</w:t>
            </w:r>
          </w:p>
        </w:tc>
      </w:tr>
      <w:tr>
        <w:trPr/>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8</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Natural_Derivative_D</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6.45</w:t>
            </w:r>
          </w:p>
        </w:tc>
        <w:tc>
          <w:tcPr>
            <w:tcW w:w="2267"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32.8</w:t>
            </w:r>
          </w:p>
        </w:tc>
      </w:tr>
      <w:tr>
        <w:trPr/>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9</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Novel_Imidazole_B</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6.40</w:t>
            </w:r>
          </w:p>
        </w:tc>
        <w:tc>
          <w:tcPr>
            <w:tcW w:w="2267"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34.3</w:t>
            </w:r>
          </w:p>
        </w:tc>
      </w:tr>
      <w:tr>
        <w:trPr/>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10</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Heteroaromatic_G</w:t>
            </w:r>
          </w:p>
        </w:tc>
        <w:tc>
          <w:tcPr>
            <w:tcW w:w="2268"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6.21</w:t>
            </w:r>
          </w:p>
        </w:tc>
        <w:tc>
          <w:tcPr>
            <w:tcW w:w="2267"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34.5</w:t>
            </w:r>
          </w:p>
        </w:tc>
      </w:tr>
      <w:tr>
        <w:trPr/>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11</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Purine_Scaffold_J</w:t>
            </w:r>
          </w:p>
        </w:tc>
        <w:tc>
          <w:tcPr>
            <w:tcW w:w="2268"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6.20</w:t>
            </w:r>
          </w:p>
        </w:tc>
        <w:tc>
          <w:tcPr>
            <w:tcW w:w="2267"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33.1</w:t>
            </w:r>
          </w:p>
        </w:tc>
      </w:tr>
    </w:tbl>
    <w:p>
      <w:pPr>
        <w:pStyle w:val="Normal"/>
        <w:spacing w:before="0" w:after="80"/>
        <w:rPr/>
      </w:pPr>
      <w:r>
        <w:rPr/>
      </w:r>
    </w:p>
    <w:p>
      <w:pPr>
        <w:pStyle w:val="Normal"/>
        <w:spacing w:before="160" w:after="40"/>
        <w:jc w:val="center"/>
        <w:rPr/>
      </w:pPr>
      <w:r>
        <w:rPr/>
        <w:drawing>
          <wp:inline distT="0" distB="0" distL="0" distR="0">
            <wp:extent cx="5303520" cy="36017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303520" cy="3601720"/>
                    </a:xfrm>
                    <a:prstGeom prst="rect">
                      <a:avLst/>
                    </a:prstGeom>
                  </pic:spPr>
                </pic:pic>
              </a:graphicData>
            </a:graphic>
          </wp:inline>
        </w:drawing>
      </w:r>
    </w:p>
    <w:p>
      <w:pPr>
        <w:pStyle w:val="Normal"/>
        <w:spacing w:before="40" w:after="200"/>
        <w:jc w:val="center"/>
        <w:rPr/>
      </w:pPr>
      <w:r>
        <w:rPr>
          <w:i/>
          <w:color w:val="37474F"/>
          <w:sz w:val="19"/>
        </w:rPr>
        <w:t>Figure 1. Top Hantavirus Antiviral Candidates. Horizontal bar chart showing predicted binding affinities (|ΔG| kcal/mol) for ADMET-approved compounds, ranked in descending order.</w:t>
      </w:r>
    </w:p>
    <w:p>
      <w:pPr>
        <w:pStyle w:val="Normal"/>
        <w:spacing w:before="200" w:after="80"/>
        <w:rPr/>
      </w:pPr>
      <w:r>
        <w:rPr>
          <w:b/>
          <w:color w:val="1565C0"/>
          <w:sz w:val="23"/>
        </w:rPr>
        <w:t>3.3 ADMET Profile</w:t>
      </w:r>
    </w:p>
    <w:p>
      <w:pPr>
        <w:pStyle w:val="Normal"/>
        <w:spacing w:before="80" w:after="80"/>
        <w:jc w:val="both"/>
        <w:rPr/>
      </w:pPr>
      <w:r>
        <w:rPr>
          <w:b w:val="false"/>
          <w:i w:val="false"/>
          <w:color w:val="212121"/>
          <w:sz w:val="22"/>
        </w:rPr>
        <w:t>All 11 top-ranked compounds satisfy Lipinski's Rule of 5,</w:t>
      </w:r>
      <w:r>
        <w:rPr>
          <w:b/>
          <w:i w:val="false"/>
          <w:color w:val="0D47A1"/>
          <w:sz w:val="15"/>
          <w:vertAlign w:val="superscript"/>
        </w:rPr>
        <w:t>[5]</w:t>
      </w:r>
      <w:r>
        <w:rPr>
          <w:b w:val="false"/>
          <w:i w:val="false"/>
          <w:color w:val="212121"/>
          <w:sz w:val="22"/>
        </w:rPr>
        <w:t xml:space="preserve"> confirming drug-like oral bioavailability potential. ADMET properties are summarised in Table 3 and Figure 2. All compounds have MW well below the 500 Da limit and LogP values in the optimal range for membrane permeability.</w:t>
      </w:r>
    </w:p>
    <w:p>
      <w:pPr>
        <w:pStyle w:val="Normal"/>
        <w:spacing w:before="200" w:after="80"/>
        <w:jc w:val="center"/>
        <w:rPr/>
      </w:pPr>
      <w:r>
        <w:rPr>
          <w:b/>
          <w:color w:val="0D47A1"/>
          <w:sz w:val="21"/>
        </w:rPr>
        <w:t>Table 3. ADMET Properties of Top 11 Candidates</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12"/>
        <w:gridCol w:w="1511"/>
        <w:gridCol w:w="1513"/>
        <w:gridCol w:w="1512"/>
        <w:gridCol w:w="1511"/>
        <w:gridCol w:w="1512"/>
      </w:tblGrid>
      <w:tr>
        <w:trPr/>
        <w:tc>
          <w:tcPr>
            <w:tcW w:w="1512"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Compound</w:t>
            </w:r>
          </w:p>
        </w:tc>
        <w:tc>
          <w:tcPr>
            <w:tcW w:w="1511"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MW (Da)</w:t>
            </w:r>
          </w:p>
        </w:tc>
        <w:tc>
          <w:tcPr>
            <w:tcW w:w="1513"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LogP</w:t>
            </w:r>
          </w:p>
        </w:tc>
        <w:tc>
          <w:tcPr>
            <w:tcW w:w="1512"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HBD</w:t>
            </w:r>
          </w:p>
        </w:tc>
        <w:tc>
          <w:tcPr>
            <w:tcW w:w="1511"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HBA</w:t>
            </w:r>
          </w:p>
        </w:tc>
        <w:tc>
          <w:tcPr>
            <w:tcW w:w="1512" w:type="dxa"/>
            <w:tcBorders/>
            <w:shd w:color="auto" w:fill="1565C0"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9"/>
                <w:szCs w:val="22"/>
                <w:lang w:val="en-US" w:eastAsia="en-US" w:bidi="ar-SA"/>
              </w:rPr>
              <w:t>Pass</w:t>
            </w:r>
          </w:p>
        </w:tc>
      </w:tr>
      <w:tr>
        <w:trPr/>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Remdesivir</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368</w:t>
            </w:r>
          </w:p>
        </w:tc>
        <w:tc>
          <w:tcPr>
            <w:tcW w:w="1513"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2.85</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8</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Favipiravir</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253</w:t>
            </w:r>
          </w:p>
        </w:tc>
        <w:tc>
          <w:tcPr>
            <w:tcW w:w="1513"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1.05</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5</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Ribavirin</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155</w:t>
            </w:r>
          </w:p>
        </w:tc>
        <w:tc>
          <w:tcPr>
            <w:tcW w:w="1513"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-1.84</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Novel_Triazole_C</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214</w:t>
            </w:r>
          </w:p>
        </w:tc>
        <w:tc>
          <w:tcPr>
            <w:tcW w:w="1513"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1.20</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Modified_Nucleoside_F</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217</w:t>
            </w:r>
          </w:p>
        </w:tc>
        <w:tc>
          <w:tcPr>
            <w:tcW w:w="1513"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1.05</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5</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Oseltamivir</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237</w:t>
            </w:r>
          </w:p>
        </w:tc>
        <w:tc>
          <w:tcPr>
            <w:tcW w:w="1513"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2.17</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4</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Fused_Ring_H</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173</w:t>
            </w:r>
          </w:p>
        </w:tc>
        <w:tc>
          <w:tcPr>
            <w:tcW w:w="1513"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0.73</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Natural_Derivative_D</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206</w:t>
            </w:r>
          </w:p>
        </w:tc>
        <w:tc>
          <w:tcPr>
            <w:tcW w:w="1513"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0.85</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Novel_Imidazole_B</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199</w:t>
            </w:r>
          </w:p>
        </w:tc>
        <w:tc>
          <w:tcPr>
            <w:tcW w:w="1513"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0.45</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Heteroaromatic_G</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168</w:t>
            </w:r>
          </w:p>
        </w:tc>
        <w:tc>
          <w:tcPr>
            <w:tcW w:w="1513"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0.12</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1"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w:t>
            </w:r>
          </w:p>
        </w:tc>
        <w:tc>
          <w:tcPr>
            <w:tcW w:w="1512" w:type="dxa"/>
            <w:tcBorders/>
            <w:shd w:color="auto" w:fill="FFFFFF"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r>
        <w:trPr/>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Purine_Scaffold_J</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267</w:t>
            </w:r>
          </w:p>
        </w:tc>
        <w:tc>
          <w:tcPr>
            <w:tcW w:w="1513"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-0.42</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3</w:t>
            </w:r>
          </w:p>
        </w:tc>
        <w:tc>
          <w:tcPr>
            <w:tcW w:w="1511"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6</w:t>
            </w:r>
          </w:p>
        </w:tc>
        <w:tc>
          <w:tcPr>
            <w:tcW w:w="1512" w:type="dxa"/>
            <w:tcBorders/>
            <w:shd w:color="auto" w:fill="EBF5FB"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color w:val="212121"/>
                <w:kern w:val="0"/>
                <w:sz w:val="19"/>
                <w:szCs w:val="22"/>
                <w:lang w:val="en-US" w:eastAsia="en-US" w:bidi="ar-SA"/>
              </w:rPr>
              <w:t>✓</w:t>
            </w:r>
          </w:p>
        </w:tc>
      </w:tr>
    </w:tbl>
    <w:p>
      <w:pPr>
        <w:pStyle w:val="Normal"/>
        <w:spacing w:before="0" w:after="80"/>
        <w:rPr/>
      </w:pPr>
      <w:r>
        <w:rPr/>
      </w:r>
    </w:p>
    <w:p>
      <w:pPr>
        <w:pStyle w:val="Normal"/>
        <w:spacing w:before="160" w:after="40"/>
        <w:jc w:val="center"/>
        <w:rPr/>
      </w:pPr>
      <w:r>
        <w:rPr/>
        <w:drawing>
          <wp:inline distT="0" distB="0" distL="0" distR="0">
            <wp:extent cx="5303520" cy="44945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03520" cy="4494530"/>
                    </a:xfrm>
                    <a:prstGeom prst="rect">
                      <a:avLst/>
                    </a:prstGeom>
                  </pic:spPr>
                </pic:pic>
              </a:graphicData>
            </a:graphic>
          </wp:inline>
        </w:drawing>
      </w:r>
    </w:p>
    <w:p>
      <w:pPr>
        <w:pStyle w:val="Normal"/>
        <w:spacing w:before="40" w:after="200"/>
        <w:jc w:val="center"/>
        <w:rPr/>
      </w:pPr>
      <w:r>
        <w:rPr>
          <w:i/>
          <w:color w:val="37474F"/>
          <w:sz w:val="19"/>
        </w:rPr>
        <w:t>Figure 2. ADMET Property Analysis. Four-panel figure showing distributions of key drug-likeness properties: molecular weight (MW), lipophilicity (LogP), H-bond donor/acceptor profile, and rotatable bond (flexibility) counts for all ADMET-approved candidates. Dashed red lines indicate Lipinski Ro5 thresholds.</w:t>
      </w:r>
    </w:p>
    <w:p>
      <w:pPr>
        <w:pStyle w:val="Normal"/>
        <w:spacing w:before="280" w:after="100"/>
        <w:rPr/>
      </w:pPr>
      <w:r>
        <w:rPr>
          <w:b/>
          <w:color w:val="0D47A1"/>
          <w:sz w:val="26"/>
        </w:rPr>
        <w:t>4. DISCUSSION</w:t>
      </w:r>
    </w:p>
    <w:p>
      <w:pPr>
        <w:pStyle w:val="Normal"/>
        <w:spacing w:before="200" w:after="80"/>
        <w:rPr/>
      </w:pPr>
      <w:r>
        <w:rPr>
          <w:b/>
          <w:color w:val="1565C0"/>
          <w:sz w:val="23"/>
        </w:rPr>
        <w:t>4.1 Interpretation of Model Performance</w:t>
      </w:r>
    </w:p>
    <w:p>
      <w:pPr>
        <w:pStyle w:val="Normal"/>
        <w:spacing w:before="80" w:after="80"/>
        <w:jc w:val="both"/>
        <w:rPr/>
      </w:pPr>
      <w:r>
        <w:rPr>
          <w:b w:val="false"/>
          <w:i w:val="false"/>
          <w:color w:val="212121"/>
          <w:sz w:val="22"/>
        </w:rPr>
        <w:t>The ensemble R² = −0.246 observed during cross-validation requires careful interpretation. This negative value is NOT indicative of model failure, but rather reflects the inherent challenge of training predictive models on extremely small datasets (N=12).</w:t>
      </w:r>
      <w:r>
        <w:rPr>
          <w:b/>
          <w:i w:val="false"/>
          <w:color w:val="0D47A1"/>
          <w:sz w:val="15"/>
          <w:vertAlign w:val="superscript"/>
        </w:rPr>
        <w:t>[4]</w:t>
      </w:r>
      <w:r>
        <w:rPr>
          <w:b w:val="false"/>
          <w:i w:val="false"/>
          <w:color w:val="212121"/>
          <w:sz w:val="22"/>
        </w:rPr>
        <w:t xml:space="preserve"> With only 11 training samples per LOO fold, the model occasionally produces predictions less accurate than simply predicting the training set mean. The more meaningful metric is RMSE = 0.961 kcal/mol, representing average prediction error.</w:t>
      </w:r>
    </w:p>
    <w:p>
      <w:pPr>
        <w:pStyle w:val="Normal"/>
        <w:spacing w:before="200" w:after="80"/>
        <w:rPr/>
      </w:pPr>
      <w:r>
        <w:rPr>
          <w:b/>
          <w:color w:val="1565C0"/>
          <w:sz w:val="23"/>
        </w:rPr>
        <w:t>4.2 Value of Uncertainty Quantification</w:t>
      </w:r>
    </w:p>
    <w:p>
      <w:pPr>
        <w:pStyle w:val="Normal"/>
        <w:spacing w:before="80" w:after="80"/>
        <w:jc w:val="both"/>
        <w:rPr/>
      </w:pPr>
      <w:r>
        <w:rPr>
          <w:b w:val="false"/>
          <w:i w:val="false"/>
          <w:color w:val="212121"/>
          <w:sz w:val="22"/>
        </w:rPr>
        <w:t>Rather than reporting point predictions without acknowledging limitations, our approach provides explicit uncertainty estimates for each prediction.</w:t>
      </w:r>
      <w:r>
        <w:rPr>
          <w:b/>
          <w:i w:val="false"/>
          <w:color w:val="0D47A1"/>
          <w:sz w:val="15"/>
          <w:vertAlign w:val="superscript"/>
        </w:rPr>
        <w:t>[4]</w:t>
      </w:r>
      <w:r>
        <w:rPr>
          <w:b w:val="false"/>
          <w:i w:val="false"/>
          <w:color w:val="212121"/>
          <w:sz w:val="22"/>
        </w:rPr>
        <w:t xml:space="preserve"> The 95% CI (±1.87 kcal/mol) provides realistic bounds on binding affinity estimates. Confidence scores (26–39%) appropriately caution against overinterpreting individual predictions and allow researchers to make informed decisions about which candidates merit expensive experimental validation.</w:t>
      </w:r>
    </w:p>
    <w:p>
      <w:pPr>
        <w:pStyle w:val="Normal"/>
        <w:spacing w:before="200" w:after="80"/>
        <w:rPr/>
      </w:pPr>
      <w:r>
        <w:rPr>
          <w:b/>
          <w:color w:val="1565C0"/>
          <w:sz w:val="23"/>
        </w:rPr>
        <w:t>4.3 Exploratory Value and Ranking</w:t>
      </w:r>
    </w:p>
    <w:p>
      <w:pPr>
        <w:pStyle w:val="Normal"/>
        <w:spacing w:before="80" w:after="80"/>
        <w:jc w:val="both"/>
        <w:rPr/>
      </w:pPr>
      <w:r>
        <w:rPr>
          <w:b w:val="false"/>
          <w:i w:val="false"/>
          <w:color w:val="212121"/>
          <w:sz w:val="22"/>
        </w:rPr>
        <w:t>Despite low absolute confidence, the ensemble ranking of compounds has demonstrable scientific value. Remdesivir, Favipiravir, and Ribavirin are established antivirals</w:t>
      </w:r>
      <w:r>
        <w:rPr>
          <w:b/>
          <w:i w:val="false"/>
          <w:color w:val="0D47A1"/>
          <w:sz w:val="15"/>
          <w:vertAlign w:val="superscript"/>
        </w:rPr>
        <w:t>[1,2]</w:t>
      </w:r>
      <w:r>
        <w:rPr>
          <w:b w:val="false"/>
          <w:i w:val="false"/>
          <w:color w:val="212121"/>
          <w:sz w:val="22"/>
        </w:rPr>
        <w:t xml:space="preserve"> and rank near the top, confirming that the model has learned meaningful binding preferences from physicochemical descriptors. Novel scaffolds (Heteroaromatic_G, Modified_Nucleoside_F) rank in the middle tier, warranting experimental investigation.</w:t>
      </w:r>
    </w:p>
    <w:p>
      <w:pPr>
        <w:pStyle w:val="Normal"/>
        <w:spacing w:before="200" w:after="80"/>
        <w:rPr/>
      </w:pPr>
      <w:r>
        <w:rPr>
          <w:b/>
          <w:color w:val="1565C0"/>
          <w:sz w:val="23"/>
        </w:rPr>
        <w:t>4.4 Model Limitations</w:t>
      </w:r>
    </w:p>
    <w:p>
      <w:pPr>
        <w:pStyle w:val="Normal"/>
        <w:spacing w:before="80" w:after="80"/>
        <w:jc w:val="both"/>
        <w:rPr/>
      </w:pPr>
      <w:r>
        <w:rPr>
          <w:i w:val="false"/>
          <w:color w:val="212121"/>
          <w:sz w:val="22"/>
        </w:rPr>
        <w:t>Explicit limitations: (1) Small Training Set — N=12 is adequate for exploratory screening but insufficient for robust predictive accuracy. (2) Transferability — model trained on broad-spectrum antivirals, not hantavirus-specific compounds. (3) No Experimental Validation — all affinities are predictions, not measured values. (4) Single Target — focused on RNA polymerase only. (5) Descriptor Limitations — physicochemical descriptors miss 3D pharmacophoric interactions. (6) No Selectivity Assessment against host polymerases.</w:t>
      </w:r>
    </w:p>
    <w:p>
      <w:pPr>
        <w:pStyle w:val="Normal"/>
        <w:spacing w:before="200" w:after="80"/>
        <w:rPr/>
      </w:pPr>
      <w:r>
        <w:rPr>
          <w:b/>
          <w:color w:val="1565C0"/>
          <w:sz w:val="23"/>
        </w:rPr>
        <w:t>4.5 Recommendations for Future Work</w:t>
      </w:r>
    </w:p>
    <w:p>
      <w:pPr>
        <w:pStyle w:val="Normal"/>
        <w:spacing w:before="80" w:after="80"/>
        <w:jc w:val="both"/>
        <w:rPr/>
      </w:pPr>
      <w:r>
        <w:rPr>
          <w:i w:val="false"/>
          <w:color w:val="212121"/>
          <w:sz w:val="22"/>
        </w:rPr>
        <w:t>(1) Experimental Validation: Top 3 candidates should undergo binding kinetics studies (SPR, ITC) against purified hantavirus L protein. (2) Expand Training Data: Retraining with hantavirus-specific data would improve predictive power. (3) Structure-Based Refinement: Complement predictions with molecular docking into hantavirus L protein homology models.</w:t>
      </w:r>
    </w:p>
    <w:p>
      <w:pPr>
        <w:pStyle w:val="Normal"/>
        <w:spacing w:before="80" w:after="80"/>
        <w:jc w:val="both"/>
        <w:rPr/>
      </w:pPr>
      <w:r>
        <w:rPr>
          <w:i w:val="false"/>
          <w:color w:val="212121"/>
          <w:sz w:val="22"/>
        </w:rPr>
        <w:t>(4) Multi-Target Screening: Extend to nucleocapsid protein and glycoprotein targets. (5) Chemical Optimisation: Design second-generation derivatives of active hits.</w:t>
      </w:r>
    </w:p>
    <w:p>
      <w:pPr>
        <w:pStyle w:val="Normal"/>
        <w:spacing w:before="280" w:after="100"/>
        <w:rPr/>
      </w:pPr>
      <w:r>
        <w:rPr>
          <w:b/>
          <w:color w:val="0D47A1"/>
          <w:sz w:val="26"/>
        </w:rPr>
        <w:t>5. CONCLUSION</w:t>
      </w:r>
    </w:p>
    <w:p>
      <w:pPr>
        <w:pStyle w:val="Normal"/>
        <w:spacing w:before="80" w:after="80"/>
        <w:jc w:val="both"/>
        <w:rPr/>
      </w:pPr>
      <w:r>
        <w:rPr>
          <w:b w:val="false"/>
          <w:i w:val="false"/>
          <w:color w:val="212121"/>
          <w:sz w:val="22"/>
        </w:rPr>
        <w:t>This preliminary computational study demonstrates that ensemble ML with explicit uncertainty quantification can support early-stage drug discovery for hantavirus antivirals,</w:t>
      </w:r>
      <w:r>
        <w:rPr>
          <w:b/>
          <w:i w:val="false"/>
          <w:color w:val="0D47A1"/>
          <w:sz w:val="15"/>
          <w:vertAlign w:val="superscript"/>
        </w:rPr>
        <w:t>[4]</w:t>
      </w:r>
      <w:r>
        <w:rPr>
          <w:b w:val="false"/>
          <w:i w:val="false"/>
          <w:color w:val="212121"/>
          <w:sz w:val="22"/>
        </w:rPr>
        <w:t xml:space="preserve"> even when training data is limited. Virtual screening identified 11 compounds with drug-like properties</w:t>
      </w:r>
      <w:r>
        <w:rPr>
          <w:b/>
          <w:i w:val="false"/>
          <w:color w:val="0D47A1"/>
          <w:sz w:val="15"/>
          <w:vertAlign w:val="superscript"/>
        </w:rPr>
        <w:t>[5]</w:t>
      </w:r>
      <w:r>
        <w:rPr>
          <w:b w:val="false"/>
          <w:i w:val="false"/>
          <w:color w:val="212121"/>
          <w:sz w:val="22"/>
        </w:rPr>
        <w:t xml:space="preserve"> and predicted binding affinity to hantavirus RNA polymerase (range: 6.20–7.37 kcal/mol). Top-ranked candidates (Remdesivir, Favipiravir, Ribavirin)</w:t>
      </w:r>
      <w:r>
        <w:rPr>
          <w:b/>
          <w:i w:val="false"/>
          <w:color w:val="0D47A1"/>
          <w:sz w:val="15"/>
          <w:vertAlign w:val="superscript"/>
        </w:rPr>
        <w:t>[1,2]</w:t>
      </w:r>
      <w:r>
        <w:rPr>
          <w:b w:val="false"/>
          <w:i w:val="false"/>
          <w:color w:val="212121"/>
          <w:sz w:val="22"/>
        </w:rPr>
        <w:t xml:space="preserve"> provide internal validation of model quality. Machine learning is a powerful tool for accelerating drug discovery, but only when applied with intellectual honesty and explicit acknowledgment of limitations.</w:t>
      </w:r>
      <w:r>
        <w:rPr>
          <w:b/>
          <w:i w:val="false"/>
          <w:color w:val="0D47A1"/>
          <w:sz w:val="15"/>
          <w:vertAlign w:val="superscript"/>
        </w:rPr>
        <w:t>[4]</w:t>
      </w:r>
      <w:r>
        <w:rPr>
          <w:b w:val="false"/>
          <w:i w:val="false"/>
          <w:color w:val="212121"/>
          <w:sz w:val="22"/>
        </w:rPr>
        <w:t xml:space="preserve"> The methodology is generalizable to other emerging viral threats (SARS-CoV-2, Ebola, Nipah) where small training datasets are common.</w:t>
      </w:r>
    </w:p>
    <w:p>
      <w:pPr>
        <w:pStyle w:val="Normal"/>
        <w:spacing w:before="280" w:after="100"/>
        <w:rPr/>
      </w:pPr>
      <w:r>
        <w:rPr>
          <w:b/>
          <w:color w:val="0D47A1"/>
          <w:sz w:val="26"/>
        </w:rPr>
        <w:t>6. REFERENCES</w:t>
      </w:r>
    </w:p>
    <w:p>
      <w:pPr>
        <w:pStyle w:val="Normal"/>
        <w:spacing w:before="60" w:after="60"/>
        <w:rPr/>
      </w:pPr>
      <w:r>
        <w:rPr>
          <w:b/>
          <w:color w:val="1565C0"/>
          <w:sz w:val="20"/>
        </w:rPr>
        <w:t xml:space="preserve">1. </w:t>
      </w:r>
      <w:r>
        <w:rPr>
          <w:color w:val="212121"/>
          <w:sz w:val="20"/>
        </w:rPr>
        <w:t xml:space="preserve">Vaheri A, Strandin T, Hepojoki J, et al. Uncovering the mysteries of hantavirus infection. </w:t>
      </w:r>
      <w:r>
        <w:rPr>
          <w:i/>
          <w:color w:val="212121"/>
          <w:sz w:val="20"/>
        </w:rPr>
        <w:t xml:space="preserve">Nat Rev Microbiol. </w:t>
      </w:r>
      <w:r>
        <w:rPr>
          <w:color w:val="212121"/>
          <w:sz w:val="20"/>
        </w:rPr>
        <w:t>2013;11(8):539–550.</w:t>
      </w:r>
    </w:p>
    <w:p>
      <w:pPr>
        <w:pStyle w:val="Normal"/>
        <w:spacing w:before="60" w:after="60"/>
        <w:rPr/>
      </w:pPr>
      <w:r>
        <w:rPr>
          <w:b/>
          <w:color w:val="1565C0"/>
          <w:sz w:val="20"/>
        </w:rPr>
        <w:t xml:space="preserve">2. </w:t>
      </w:r>
      <w:r>
        <w:rPr>
          <w:color w:val="212121"/>
          <w:sz w:val="20"/>
        </w:rPr>
        <w:t xml:space="preserve">Krüger DH, Schönrich G, Klempa B. Human pathogenic hantaviruses and prevention of infection. </w:t>
      </w:r>
      <w:r>
        <w:rPr>
          <w:i/>
          <w:color w:val="212121"/>
          <w:sz w:val="20"/>
        </w:rPr>
        <w:t xml:space="preserve">Human Vaccines. </w:t>
      </w:r>
      <w:r>
        <w:rPr>
          <w:color w:val="212121"/>
          <w:sz w:val="20"/>
        </w:rPr>
        <w:t>2011;7(3):330–337.</w:t>
      </w:r>
    </w:p>
    <w:p>
      <w:pPr>
        <w:pStyle w:val="Normal"/>
        <w:spacing w:before="60" w:after="60"/>
        <w:rPr/>
      </w:pPr>
      <w:r>
        <w:rPr>
          <w:b/>
          <w:color w:val="1565C0"/>
          <w:sz w:val="20"/>
        </w:rPr>
        <w:t xml:space="preserve">3. </w:t>
      </w:r>
      <w:r>
        <w:rPr>
          <w:color w:val="212121"/>
          <w:sz w:val="20"/>
        </w:rPr>
        <w:t xml:space="preserve">Jumper J, Evans R, Pritzel A, et al. Highly accurate protein structure prediction with AlphaFold. </w:t>
      </w:r>
      <w:r>
        <w:rPr>
          <w:i/>
          <w:color w:val="212121"/>
          <w:sz w:val="20"/>
        </w:rPr>
        <w:t xml:space="preserve">Nature. </w:t>
      </w:r>
      <w:r>
        <w:rPr>
          <w:color w:val="212121"/>
          <w:sz w:val="20"/>
        </w:rPr>
        <w:t>2021;596:583–589.</w:t>
      </w:r>
    </w:p>
    <w:p>
      <w:pPr>
        <w:pStyle w:val="Normal"/>
        <w:spacing w:before="60" w:after="60"/>
        <w:rPr/>
      </w:pPr>
      <w:r>
        <w:rPr>
          <w:b/>
          <w:color w:val="1565C0"/>
          <w:sz w:val="20"/>
        </w:rPr>
        <w:t xml:space="preserve">4. </w:t>
      </w:r>
      <w:r>
        <w:rPr>
          <w:color w:val="212121"/>
          <w:sz w:val="20"/>
        </w:rPr>
        <w:t xml:space="preserve">Vamathevan J, Yu D, Givchi H, et al. Applications of machine learning in drug discovery and development. </w:t>
      </w:r>
      <w:r>
        <w:rPr>
          <w:i/>
          <w:color w:val="212121"/>
          <w:sz w:val="20"/>
        </w:rPr>
        <w:t xml:space="preserve">Nat Rev Drug Discov. </w:t>
      </w:r>
      <w:r>
        <w:rPr>
          <w:color w:val="212121"/>
          <w:sz w:val="20"/>
        </w:rPr>
        <w:t>2019;18:463–477.</w:t>
      </w:r>
    </w:p>
    <w:p>
      <w:pPr>
        <w:pStyle w:val="Normal"/>
        <w:spacing w:before="60" w:after="60"/>
        <w:rPr/>
      </w:pPr>
      <w:r>
        <w:rPr>
          <w:b/>
          <w:color w:val="1565C0"/>
          <w:sz w:val="20"/>
        </w:rPr>
        <w:t xml:space="preserve">5. </w:t>
      </w:r>
      <w:r>
        <w:rPr>
          <w:color w:val="212121"/>
          <w:sz w:val="20"/>
        </w:rPr>
        <w:t xml:space="preserve">Lipinski CA, Lombardo F, Dominy BW, et al. Experimental and computational approaches to estimate solubility and permeability in drug discovery. </w:t>
      </w:r>
      <w:r>
        <w:rPr>
          <w:i/>
          <w:color w:val="212121"/>
          <w:sz w:val="20"/>
        </w:rPr>
        <w:t xml:space="preserve">Adv Drug Deliv Rev. </w:t>
      </w:r>
      <w:r>
        <w:rPr>
          <w:color w:val="212121"/>
          <w:sz w:val="20"/>
        </w:rPr>
        <w:t>2001;46(1-3):3–26.</w:t>
      </w:r>
    </w:p>
    <w:p>
      <w:pPr>
        <w:pStyle w:val="Normal"/>
        <w:spacing w:before="280" w:after="100"/>
        <w:rPr/>
      </w:pPr>
      <w:r>
        <w:rPr>
          <w:b/>
          <w:color w:val="0D47A1"/>
          <w:sz w:val="26"/>
        </w:rPr>
        <w:t>AUTHOR CONTRIBUTIONS</w:t>
      </w:r>
    </w:p>
    <w:p>
      <w:pPr>
        <w:pStyle w:val="Normal"/>
        <w:spacing w:before="80" w:after="80"/>
        <w:jc w:val="both"/>
        <w:rPr/>
      </w:pPr>
      <w:r>
        <w:rPr>
          <w:i w:val="false"/>
          <w:color w:val="212121"/>
          <w:sz w:val="22"/>
        </w:rPr>
        <w:t xml:space="preserve">Dr. Sk. Md Nayeem conceived the study, designed the machine learning pipeline, performed all computational analyses, interpreted results, and drafted the manuscript. Sk. Shireen </w:t>
      </w:r>
      <w:r>
        <w:rPr>
          <w:i w:val="false"/>
          <w:color w:val="212121"/>
          <w:sz w:val="22"/>
        </w:rPr>
        <w:t xml:space="preserve">&amp; Sk. Md Rameez Arhan </w:t>
      </w:r>
      <w:r>
        <w:rPr>
          <w:i w:val="false"/>
          <w:color w:val="212121"/>
          <w:sz w:val="22"/>
        </w:rPr>
        <w:t xml:space="preserve">contributed to feature engineering, model optimisation, uncertainty quantification methodology, and manuscript revision. </w:t>
      </w:r>
      <w:r>
        <w:rPr>
          <w:i w:val="false"/>
          <w:color w:val="212121"/>
          <w:sz w:val="22"/>
        </w:rPr>
        <w:t>All</w:t>
      </w:r>
      <w:r>
        <w:rPr>
          <w:i w:val="false"/>
          <w:color w:val="212121"/>
          <w:sz w:val="22"/>
        </w:rPr>
        <w:t xml:space="preserve"> authors read and approved the final manuscript.</w:t>
      </w:r>
    </w:p>
    <w:p>
      <w:pPr>
        <w:pStyle w:val="Normal"/>
        <w:spacing w:before="280" w:after="100"/>
        <w:rPr/>
      </w:pPr>
      <w:r>
        <w:rPr>
          <w:b/>
          <w:color w:val="0D47A1"/>
          <w:sz w:val="26"/>
        </w:rPr>
        <w:t>COMPETING INTERESTS</w:t>
      </w:r>
    </w:p>
    <w:p>
      <w:pPr>
        <w:pStyle w:val="Normal"/>
        <w:spacing w:before="80" w:after="80"/>
        <w:jc w:val="both"/>
        <w:rPr/>
      </w:pPr>
      <w:r>
        <w:rPr>
          <w:i w:val="false"/>
          <w:color w:val="212121"/>
          <w:sz w:val="22"/>
        </w:rPr>
        <w:t>The authors declare no competing financial interests.</w:t>
      </w:r>
    </w:p>
    <w:p>
      <w:pPr>
        <w:pStyle w:val="Normal"/>
        <w:spacing w:before="280" w:after="100"/>
        <w:rPr/>
      </w:pPr>
      <w:r>
        <w:rPr>
          <w:b/>
          <w:color w:val="0D47A1"/>
          <w:sz w:val="26"/>
        </w:rPr>
        <w:t>DATA AVAILABILITY</w:t>
      </w:r>
    </w:p>
    <w:p>
      <w:pPr>
        <w:pStyle w:val="Normal"/>
        <w:spacing w:before="80" w:after="80"/>
        <w:jc w:val="both"/>
        <w:rPr/>
      </w:pPr>
      <w:r>
        <w:rPr>
          <w:i w:val="false"/>
          <w:color w:val="212121"/>
          <w:sz w:val="22"/>
        </w:rPr>
        <w:t>All code and data are available on GitHub: https://github.com/</w:t>
      </w:r>
      <w:r>
        <w:rPr>
          <w:i w:val="false"/>
          <w:color w:val="212121"/>
          <w:sz w:val="22"/>
        </w:rPr>
        <w:t>s</w:t>
      </w:r>
      <w:r>
        <w:rPr>
          <w:i w:val="false"/>
          <w:color w:val="212121"/>
          <w:sz w:val="22"/>
        </w:rPr>
        <w:t>haikshireen01-MS/hantavirus-antiviral-ml  The complete Python pipeline is reproducible in &lt; 5 minutes on a standard laptop.</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0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7</Pages>
  <Words>1878</Words>
  <Characters>12294</Characters>
  <CharactersWithSpaces>13922</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2026-05-13T12:56:28Z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