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02C57"/>
          <w:sz w:val="52"/>
        </w:rPr>
        <w:t>Amazon ML Challenge 2026</w:t>
      </w:r>
    </w:p>
    <w:p>
      <w:pPr>
        <w:spacing w:before="0" w:after="320"/>
      </w:pPr>
      <w:r>
        <w:rPr>
          <w:rFonts w:ascii="Calibri" w:hAnsi="Calibri"/>
          <w:color w:val="35598E"/>
          <w:sz w:val="30"/>
        </w:rPr>
        <w:t>Business Entity Resolution — Technical Architecture &amp; Methodology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AEEF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02C57"/>
              </w:rPr>
              <w:t>Team Name</w:t>
            </w:r>
          </w:p>
        </w:tc>
        <w:tc>
          <w:tcPr>
            <w:tcW w:type="dxa" w:w="4680"/>
            <w:shd w:fill="FAFB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Team Antigravity</w:t>
            </w:r>
          </w:p>
        </w:tc>
      </w:tr>
      <w:tr>
        <w:tc>
          <w:tcPr>
            <w:tcW w:type="dxa" w:w="4680"/>
            <w:shd w:fill="EAEEF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02C57"/>
              </w:rPr>
              <w:t>Challenge Track</w:t>
            </w:r>
          </w:p>
        </w:tc>
        <w:tc>
          <w:tcPr>
            <w:tcW w:type="dxa" w:w="4680"/>
            <w:shd w:fill="FAFB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Business Entity Resolution (Multi-Source Matching)</w:t>
            </w:r>
          </w:p>
        </w:tc>
      </w:tr>
      <w:tr>
        <w:tc>
          <w:tcPr>
            <w:tcW w:type="dxa" w:w="4680"/>
            <w:shd w:fill="EAEEF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02C57"/>
              </w:rPr>
              <w:t>Evaluation Metric</w:t>
            </w:r>
          </w:p>
        </w:tc>
        <w:tc>
          <w:tcPr>
            <w:tcW w:type="dxa" w:w="4680"/>
            <w:shd w:fill="FAFB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Macro-average F_0.5 (Precision-Weighted, Singletons Included)</w:t>
            </w:r>
          </w:p>
        </w:tc>
      </w:tr>
      <w:tr>
        <w:tc>
          <w:tcPr>
            <w:tcW w:type="dxa" w:w="4680"/>
            <w:shd w:fill="EAEEF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02C57"/>
              </w:rPr>
              <w:t>Supported Geographies</w:t>
            </w:r>
          </w:p>
        </w:tc>
        <w:tc>
          <w:tcPr>
            <w:tcW w:type="dxa" w:w="4680"/>
            <w:shd w:fill="FAFB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United States, India, and France (Open String Label)</w:t>
            </w:r>
          </w:p>
        </w:tc>
      </w:tr>
      <w:tr>
        <w:tc>
          <w:tcPr>
            <w:tcW w:type="dxa" w:w="4680"/>
            <w:shd w:fill="EAEEF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02C57"/>
              </w:rPr>
              <w:t>Date</w:t>
            </w:r>
          </w:p>
        </w:tc>
        <w:tc>
          <w:tcPr>
            <w:tcW w:type="dxa" w:w="4680"/>
            <w:shd w:fill="FAFB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September 2026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102C57"/>
          <w:sz w:val="32"/>
        </w:rPr>
        <w:t>1. Executive Summary</w:t>
      </w:r>
    </w:p>
    <w:p>
      <w:r>
        <w:t>We designed and implemented a production-grade, offline, multi-stage machine learning system for enterprise-scale Business Entity Resolution (ER) across heterogeneous data sources. The architecture integrates jurisdiction-aware normalization, 5-channel inverted index candidate blocking, and a gradient boosted decision tree (LightGBM) trained on 34 discriminative pairwise and group-ranking features. By optimizing the decision threshold specifically for the competition's precision-heavy Macro-F0.5 metric with singleton protection (tau = 0.69), the system achieves a 96.72% blocking recall ceiling with a 99.966% reduction ratio (~34 candidates per reference entity), and delivers 97.27% Macro-F0.5 (99.18% precision, 97.37% singleton identification accuracy) on the held-out validation benchmark.</w:t>
      </w:r>
    </w:p>
    <w:p>
      <w:pPr>
        <w:keepNext/>
        <w:spacing w:before="360" w:after="120"/>
      </w:pPr>
      <w:r>
        <w:rPr>
          <w:rFonts w:ascii="Calibri" w:hAnsi="Calibri"/>
          <w:b/>
          <w:color w:val="102C57"/>
          <w:sz w:val="32"/>
        </w:rPr>
        <w:t>2. Problem Analysis &amp; Core Challenges</w:t>
      </w:r>
    </w:p>
    <w:p>
      <w:pPr>
        <w:pStyle w:val="ListBullet"/>
        <w:spacing w:before="40" w:after="40"/>
      </w:pPr>
      <w:r>
        <w:rPr>
          <w:b/>
          <w:color w:val="102C57"/>
        </w:rPr>
        <w:t>Deduplication vs Multiplicity:</w:t>
      </w:r>
      <w:r>
        <w:t xml:space="preserve"> Reference Source 1 is deduplicated; Candidate Sources 2 and 3 contain noisy, unstandardized business records.</w:t>
      </w:r>
    </w:p>
    <w:p>
      <w:pPr>
        <w:pStyle w:val="ListBullet"/>
        <w:spacing w:before="40" w:after="40"/>
      </w:pPr>
      <w:r>
        <w:rPr>
          <w:b/>
          <w:color w:val="102C57"/>
        </w:rPr>
        <w:t>Legal Suffix Noise:</w:t>
      </w:r>
      <w:r>
        <w:t xml:space="preserve"> Heavy variations in entity designations across US (Inc vs Incorporated, LLC vs L.L.C.), India (Pvt Ltd vs Private Limited), and France (SARL, SAS, SA, EURL).</w:t>
      </w:r>
    </w:p>
    <w:p>
      <w:pPr>
        <w:pStyle w:val="ListBullet"/>
        <w:spacing w:before="40" w:after="40"/>
      </w:pPr>
      <w:r>
        <w:rPr>
          <w:b/>
          <w:color w:val="102C57"/>
        </w:rPr>
        <w:t>Address Distortion:</w:t>
      </w:r>
      <w:r>
        <w:t xml:space="preserve"> Severe permutations of address components (street before city, pin code before state), omitted postal codes, and landmark references.</w:t>
      </w:r>
    </w:p>
    <w:p>
      <w:pPr>
        <w:pStyle w:val="ListBullet"/>
        <w:spacing w:before="40" w:after="40"/>
      </w:pPr>
      <w:r>
        <w:rPr>
          <w:b/>
          <w:color w:val="102C57"/>
        </w:rPr>
        <w:t>Unseen Geographies (France):</w:t>
      </w:r>
      <w:r>
        <w:t xml:space="preserve"> The test set introduces France, which does not exist in training data. The entire pipeline treats country as an open string label without hardcoded filtering.</w:t>
      </w:r>
    </w:p>
    <w:p>
      <w:pPr>
        <w:pStyle w:val="ListBullet"/>
        <w:spacing w:before="40" w:after="40"/>
      </w:pPr>
      <w:r>
        <w:rPr>
          <w:b/>
          <w:color w:val="102C57"/>
        </w:rPr>
        <w:t>Singleton Preponderance:</w:t>
      </w:r>
      <w:r>
        <w:t xml:space="preserve"> Approximately 65% of Source 1 entities have zero matching records in S2/S3. Under the Macro-F0.5 scoring rule, correctly predicting an empty list yields 1.0, while false merges yield 0.0.</w:t>
      </w:r>
    </w:p>
    <w:p>
      <w:pPr>
        <w:keepNext/>
        <w:spacing w:before="360" w:after="120"/>
      </w:pPr>
      <w:r>
        <w:rPr>
          <w:rFonts w:ascii="Calibri" w:hAnsi="Calibri"/>
          <w:b/>
          <w:color w:val="102C57"/>
          <w:sz w:val="32"/>
        </w:rPr>
        <w:t>3. Evaluation Metric Formulation (Macro-F0.5)</w:t>
      </w:r>
    </w:p>
    <w:p>
      <w:r>
        <w:t>Submissions are evaluated using Macro-average F_0.5 (beta = 0.5), which penalizes false merges (false positives) twice as severely as missed matches:</w:t>
      </w:r>
    </w:p>
    <w:p>
      <w:pPr>
        <w:jc w:val="center"/>
      </w:pPr>
      <w:r>
        <w:rPr>
          <w:b/>
          <w:color w:val="102C57"/>
          <w:sz w:val="24"/>
        </w:rPr>
        <w:t>F_0.5 = (1.25 * Precision * Recall) / (0.25 * Precision + Recall)</w:t>
      </w:r>
    </w:p>
    <w:p>
      <w:r>
        <w:t>For each Source 1 entity: if no true matches exist (singleton), predicting an empty list scores 1.0; predicting any match scores 0.0. The overall score is the unweighted arithmetic mean over all Source 1 entities in the evaluation set.</w:t>
      </w:r>
    </w:p>
    <w:p>
      <w:pPr>
        <w:keepNext/>
        <w:spacing w:before="360" w:after="120"/>
      </w:pPr>
      <w:r>
        <w:rPr>
          <w:rFonts w:ascii="Calibri" w:hAnsi="Calibri"/>
          <w:b/>
          <w:color w:val="102C57"/>
          <w:sz w:val="32"/>
        </w:rPr>
        <w:t>4. Candidate Generation (Multi-Channel Blocking)</w:t>
      </w:r>
    </w:p>
    <w:p>
      <w:r>
        <w:t>Comparing 1.73M reference entities against 10M candidate records requires evaluating over 1.7 x 10^13 pairs. Our candidate generator cuts this search space by 99.966% using 5 complementary retrieval channels:</w:t>
      </w:r>
    </w:p>
    <w:p>
      <w:pPr>
        <w:pStyle w:val="ListBullet"/>
        <w:spacing w:before="40" w:after="40"/>
      </w:pPr>
      <w:r>
        <w:rPr>
          <w:b/>
          <w:color w:val="102C57"/>
        </w:rPr>
        <w:t>Channel 1 (Exact Core Name):</w:t>
      </w:r>
      <w:r>
        <w:t xml:space="preserve"> Exact match on core business name (legal suffixes stripped) and alphabetically sorted token signatures.</w:t>
      </w:r>
    </w:p>
    <w:p>
      <w:pPr>
        <w:pStyle w:val="ListBullet"/>
        <w:spacing w:before="40" w:after="40"/>
      </w:pPr>
      <w:r>
        <w:rPr>
          <w:b/>
          <w:color w:val="102C57"/>
        </w:rPr>
        <w:t>Channel 2 (Rare Token Index):</w:t>
      </w:r>
      <w:r>
        <w:t xml:space="preserve"> Inverted index on rare name tokens occurring in &lt;= 500 records, returning up to 10 candidates per rare token.</w:t>
      </w:r>
    </w:p>
    <w:p>
      <w:pPr>
        <w:pStyle w:val="ListBullet"/>
        <w:spacing w:before="40" w:after="40"/>
      </w:pPr>
      <w:r>
        <w:rPr>
          <w:b/>
          <w:color w:val="102C57"/>
        </w:rPr>
        <w:t>Channel 3 (Structured Address):</w:t>
      </w:r>
      <w:r>
        <w:t xml:space="preserve"> Inverted index on postal codes (ZIP/PIN) and building/house numbers, capped at 500 records.</w:t>
      </w:r>
    </w:p>
    <w:p>
      <w:pPr>
        <w:pStyle w:val="ListBullet"/>
        <w:spacing w:before="40" w:after="40"/>
      </w:pPr>
      <w:r>
        <w:rPr>
          <w:b/>
          <w:color w:val="102C57"/>
        </w:rPr>
        <w:t>Channel 4 (Char 3-Gram TF-IDF):</w:t>
      </w:r>
      <w:r>
        <w:t xml:space="preserve"> Sub-word character 3-gram TF-IDF cosine retrieval (threshold &gt;= 0.50, top-k=5) to catch typos and transpositions.</w:t>
      </w:r>
    </w:p>
    <w:p>
      <w:pPr>
        <w:pStyle w:val="ListBullet"/>
        <w:spacing w:before="40" w:after="40"/>
      </w:pPr>
      <w:r>
        <w:rPr>
          <w:b/>
          <w:color w:val="102C57"/>
        </w:rPr>
        <w:t>Channel 5 (Combined TF-IDF):</w:t>
      </w:r>
      <w:r>
        <w:t xml:space="preserve"> Full-text TF-IDF cosine retrieval (threshold &gt;= 0.40, top-k=3) for blended name and address records.</w:t>
      </w:r>
    </w:p>
    <w:p>
      <w:pPr>
        <w:keepNext/>
        <w:spacing w:before="240" w:after="80"/>
      </w:pPr>
      <w:r>
        <w:rPr>
          <w:rFonts w:ascii="Calibri" w:hAnsi="Calibri"/>
          <w:b/>
          <w:color w:val="35598E"/>
          <w:sz w:val="26"/>
        </w:rPr>
        <w:t>Blocking Evaluation Benchmarks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3A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Configuration</w:t>
            </w:r>
          </w:p>
        </w:tc>
        <w:tc>
          <w:tcPr>
            <w:tcW w:type="dxa" w:w="1560"/>
            <w:shd w:fill="1F3A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Pair Recall</w:t>
            </w:r>
          </w:p>
        </w:tc>
        <w:tc>
          <w:tcPr>
            <w:tcW w:type="dxa" w:w="1560"/>
            <w:shd w:fill="1F3A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Entity Recall</w:t>
            </w:r>
          </w:p>
        </w:tc>
        <w:tc>
          <w:tcPr>
            <w:tcW w:type="dxa" w:w="1560"/>
            <w:shd w:fill="1F3A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Mean Cands/S1</w:t>
            </w:r>
          </w:p>
        </w:tc>
        <w:tc>
          <w:tcPr>
            <w:tcW w:type="dxa" w:w="1560"/>
            <w:shd w:fill="1F3A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Reduction Ratio</w:t>
            </w:r>
          </w:p>
        </w:tc>
        <w:tc>
          <w:tcPr>
            <w:tcW w:type="dxa" w:w="1560"/>
            <w:shd w:fill="1F3A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Runtime</w:t>
            </w:r>
          </w:p>
        </w:tc>
      </w:tr>
      <w:tr>
        <w:tc>
          <w:tcPr>
            <w:tcW w:type="dxa" w:w="156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Iteration A (Baseline)</w:t>
            </w:r>
          </w:p>
        </w:tc>
        <w:tc>
          <w:tcPr>
            <w:tcW w:type="dxa" w:w="156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88.22%</w:t>
            </w:r>
          </w:p>
        </w:tc>
        <w:tc>
          <w:tcPr>
            <w:tcW w:type="dxa" w:w="156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70.30%</w:t>
            </w:r>
          </w:p>
        </w:tc>
        <w:tc>
          <w:tcPr>
            <w:tcW w:type="dxa" w:w="156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30.89</w:t>
            </w:r>
          </w:p>
        </w:tc>
        <w:tc>
          <w:tcPr>
            <w:tcW w:type="dxa" w:w="156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99.9696%</w:t>
            </w:r>
          </w:p>
        </w:tc>
        <w:tc>
          <w:tcPr>
            <w:tcW w:type="dxa" w:w="156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2.0s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Iteration B (+Char &amp; Combined)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96.72%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91.24%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34.71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99.9659%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12.2s</w:t>
            </w:r>
          </w:p>
        </w:tc>
      </w:tr>
      <w:tr>
        <w:tc>
          <w:tcPr>
            <w:tcW w:type="dxa" w:w="156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Iteration C (Tuned Lean)</w:t>
            </w:r>
          </w:p>
        </w:tc>
        <w:tc>
          <w:tcPr>
            <w:tcW w:type="dxa" w:w="156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93.73%</w:t>
            </w:r>
          </w:p>
        </w:tc>
        <w:tc>
          <w:tcPr>
            <w:tcW w:type="dxa" w:w="156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83.76%</w:t>
            </w:r>
          </w:p>
        </w:tc>
        <w:tc>
          <w:tcPr>
            <w:tcW w:type="dxa" w:w="156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24.36</w:t>
            </w:r>
          </w:p>
        </w:tc>
        <w:tc>
          <w:tcPr>
            <w:tcW w:type="dxa" w:w="156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99.9760%</w:t>
            </w:r>
          </w:p>
        </w:tc>
        <w:tc>
          <w:tcPr>
            <w:tcW w:type="dxa" w:w="156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13.2s</w:t>
            </w:r>
          </w:p>
        </w:tc>
      </w:tr>
    </w:tbl>
    <w:p>
      <w:pPr>
        <w:spacing w:before="160"/>
      </w:pPr>
      <w:r>
        <w:rPr>
          <w:b/>
        </w:rPr>
        <w:t xml:space="preserve">Geographic Breakdown: </w:t>
      </w:r>
      <w:r>
        <w:t>US Pair Recall Ceiling: 99.23% | India Pair Recall Ceiling: 92.78% | Source 2 Recall: 97.98% | Source 3 Recall: 95.49%.</w:t>
      </w:r>
    </w:p>
    <w:p>
      <w:pPr>
        <w:keepNext/>
        <w:spacing w:before="360" w:after="120"/>
      </w:pPr>
      <w:r>
        <w:rPr>
          <w:rFonts w:ascii="Calibri" w:hAnsi="Calibri"/>
          <w:b/>
          <w:color w:val="102C57"/>
          <w:sz w:val="32"/>
        </w:rPr>
        <w:t>5. Pairwise Feature Engineering (34 Dimensions)</w:t>
      </w:r>
    </w:p>
    <w:p>
      <w:r>
        <w:t>For each generated candidate pair, our feature engine computes 34 discriminative metrics:</w:t>
      </w:r>
    </w:p>
    <w:p>
      <w:pPr>
        <w:pStyle w:val="ListBullet"/>
        <w:spacing w:before="40" w:after="40"/>
      </w:pPr>
      <w:r>
        <w:rPr>
          <w:b/>
          <w:color w:val="102C57"/>
        </w:rPr>
        <w:t>Name Features (14):</w:t>
      </w:r>
      <w:r>
        <w:t xml:space="preserve"> Levenshtein ratio, partial ratio, token sort ratio, token set ratio, core name sort, character 3-gram and 4-gram Jaccard, prefix 3/5 matches, first token exact match, legal suffix match compatibility, length difference and ratio.</w:t>
      </w:r>
    </w:p>
    <w:p>
      <w:pPr>
        <w:pStyle w:val="ListBullet"/>
        <w:spacing w:before="40" w:after="40"/>
      </w:pPr>
      <w:r>
        <w:rPr>
          <w:b/>
          <w:color w:val="102C57"/>
        </w:rPr>
        <w:t>Address Features (11):</w:t>
      </w:r>
      <w:r>
        <w:t xml:space="preserve"> Address Levenshtein, token sort, token set, token Jaccard, postal code exact match (-1 missing, 0 mismatch, 1 match), house number exact match, numeric token Jaccard overlap, address missingness indicators, length ratio.</w:t>
      </w:r>
    </w:p>
    <w:p>
      <w:pPr>
        <w:pStyle w:val="ListBullet"/>
        <w:spacing w:before="40" w:after="40"/>
      </w:pPr>
      <w:r>
        <w:rPr>
          <w:b/>
          <w:color w:val="102C57"/>
        </w:rPr>
        <w:t>Combined &amp; Source Features (6):</w:t>
      </w:r>
      <w:r>
        <w:t xml:space="preserve"> Full combined token set ratio, candidate source flags (is_s2, is_s3), country indicators (country_is_us, country_is_in, country_is_fr).</w:t>
      </w:r>
    </w:p>
    <w:p>
      <w:pPr>
        <w:pStyle w:val="ListBullet"/>
        <w:spacing w:before="40" w:after="40"/>
      </w:pPr>
      <w:r>
        <w:rPr>
          <w:b/>
          <w:color w:val="102C57"/>
        </w:rPr>
        <w:t>Entity Group Ranking Features (3):</w:t>
      </w:r>
      <w:r>
        <w:t xml:space="preserve"> candidate_rank (ordinal rank of candidate for this S1 entity sorted by name similarity), name_sort_diff_to_best (similarity margin against the #1 candidate), total_candidates_for_s1 (cluster density proxy).</w:t>
      </w:r>
    </w:p>
    <w:p>
      <w:pPr>
        <w:keepNext/>
        <w:spacing w:before="360" w:after="120"/>
      </w:pPr>
      <w:r>
        <w:rPr>
          <w:rFonts w:ascii="Calibri" w:hAnsi="Calibri"/>
          <w:b/>
          <w:color w:val="102C57"/>
          <w:sz w:val="32"/>
        </w:rPr>
        <w:t>6. Matching Model &amp; Macro-F0.5 Optimization</w:t>
      </w:r>
    </w:p>
    <w:p>
      <w:r>
        <w:t>We train a LightGBM Gradient Boosted Decision Tree (LGBMClassifier) with 350 trees, max depth 6, and 31 leaves. The model is evaluated using strict entity-grouped validation to prevent data leakage. A threshold grid search tau in [0.35, 0.90] was conducted directly against the competition Macro-F0.5 metric: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3A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Threshold (tau)</w:t>
            </w:r>
          </w:p>
        </w:tc>
        <w:tc>
          <w:tcPr>
            <w:tcW w:type="dxa" w:w="1872"/>
            <w:shd w:fill="1F3A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Macro-F0.5</w:t>
            </w:r>
          </w:p>
        </w:tc>
        <w:tc>
          <w:tcPr>
            <w:tcW w:type="dxa" w:w="1872"/>
            <w:shd w:fill="1F3A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Macro-Precision</w:t>
            </w:r>
          </w:p>
        </w:tc>
        <w:tc>
          <w:tcPr>
            <w:tcW w:type="dxa" w:w="1872"/>
            <w:shd w:fill="1F3A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Macro-Recall</w:t>
            </w:r>
          </w:p>
        </w:tc>
        <w:tc>
          <w:tcPr>
            <w:tcW w:type="dxa" w:w="1872"/>
            <w:shd w:fill="1F3A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Singleton Accuracy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0.35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96.94%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98.54%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95.09%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95.61%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0.45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97.13%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98.81%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94.93%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96.49%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0.55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97.11%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98.88%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94.78%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96.49%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0.65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97.26%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99.10%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94.65%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97.37%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0.69 (Optimal)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97.27%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99.18%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94.47%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97.37%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0.75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97.12%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99.21%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94.10%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97.37%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0.85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96.98%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99.35%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93.52%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98.25%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35598E"/>
          <w:sz w:val="26"/>
        </w:rPr>
        <w:t>Top 10 Feature Importances (Split Count)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A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Rank</w:t>
            </w:r>
          </w:p>
        </w:tc>
        <w:tc>
          <w:tcPr>
            <w:tcW w:type="dxa" w:w="3120"/>
            <w:shd w:fill="1F3A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Feature Name</w:t>
            </w:r>
          </w:p>
        </w:tc>
        <w:tc>
          <w:tcPr>
            <w:tcW w:type="dxa" w:w="3120"/>
            <w:shd w:fill="1F3A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Importance (Splits)</w:t>
            </w:r>
          </w:p>
        </w:tc>
      </w:tr>
      <w:tr>
        <w:tc>
          <w:tcPr>
            <w:tcW w:type="dxa" w:w="31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</w:t>
            </w:r>
          </w:p>
        </w:tc>
        <w:tc>
          <w:tcPr>
            <w:tcW w:type="dxa" w:w="31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full_token_set</w:t>
            </w:r>
          </w:p>
        </w:tc>
        <w:tc>
          <w:tcPr>
            <w:tcW w:type="dxa" w:w="31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685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name_core_sort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605</w:t>
            </w:r>
          </w:p>
        </w:tc>
      </w:tr>
      <w:tr>
        <w:tc>
          <w:tcPr>
            <w:tcW w:type="dxa" w:w="31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3</w:t>
            </w:r>
          </w:p>
        </w:tc>
        <w:tc>
          <w:tcPr>
            <w:tcW w:type="dxa" w:w="31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name_lev</w:t>
            </w:r>
          </w:p>
        </w:tc>
        <w:tc>
          <w:tcPr>
            <w:tcW w:type="dxa" w:w="31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531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4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total_candidates_for_s1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529</w:t>
            </w:r>
          </w:p>
        </w:tc>
      </w:tr>
      <w:tr>
        <w:tc>
          <w:tcPr>
            <w:tcW w:type="dxa" w:w="31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5</w:t>
            </w:r>
          </w:p>
        </w:tc>
        <w:tc>
          <w:tcPr>
            <w:tcW w:type="dxa" w:w="31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name_partial</w:t>
            </w:r>
          </w:p>
        </w:tc>
        <w:tc>
          <w:tcPr>
            <w:tcW w:type="dxa" w:w="31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501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6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name_jaccard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490</w:t>
            </w:r>
          </w:p>
        </w:tc>
      </w:tr>
      <w:tr>
        <w:tc>
          <w:tcPr>
            <w:tcW w:type="dxa" w:w="31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7</w:t>
            </w:r>
          </w:p>
        </w:tc>
        <w:tc>
          <w:tcPr>
            <w:tcW w:type="dxa" w:w="31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addr_len_ratio</w:t>
            </w:r>
          </w:p>
        </w:tc>
        <w:tc>
          <w:tcPr>
            <w:tcW w:type="dxa" w:w="31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476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8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addr_token_set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453</w:t>
            </w:r>
          </w:p>
        </w:tc>
      </w:tr>
      <w:tr>
        <w:tc>
          <w:tcPr>
            <w:tcW w:type="dxa" w:w="31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9</w:t>
            </w:r>
          </w:p>
        </w:tc>
        <w:tc>
          <w:tcPr>
            <w:tcW w:type="dxa" w:w="31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candidate_rank</w:t>
            </w:r>
          </w:p>
        </w:tc>
        <w:tc>
          <w:tcPr>
            <w:tcW w:type="dxa" w:w="312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451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10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name_len_ratio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437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102C57"/>
          <w:sz w:val="32"/>
        </w:rPr>
        <w:t>7. Streaming Test Inference Engine</w:t>
      </w:r>
    </w:p>
    <w:p>
      <w:r>
        <w:t>To process 1.73M test entities against 10M candidate records within desktop memory constraints, the inference engine utilizes two architectural mechanisms:</w:t>
      </w:r>
    </w:p>
    <w:p>
      <w:pPr>
        <w:pStyle w:val="ListBullet"/>
        <w:spacing w:before="40" w:after="40"/>
      </w:pPr>
      <w:r>
        <w:rPr>
          <w:b/>
          <w:color w:val="102C57"/>
        </w:rPr>
        <w:t>Country-Partitioned Isolation:</w:t>
      </w:r>
      <w:r>
        <w:t xml:space="preserve"> Records are partitioned by France, US, and India. Since matches never cross international borders, candidate indexes are constructed and deallocated per country, capping RAM usage at &lt; 3.5 GB.</w:t>
      </w:r>
    </w:p>
    <w:p>
      <w:pPr>
        <w:pStyle w:val="ListBullet"/>
        <w:spacing w:before="40" w:after="40"/>
      </w:pPr>
      <w:r>
        <w:rPr>
          <w:b/>
          <w:color w:val="102C57"/>
        </w:rPr>
        <w:t>Chunked Streaming Output:</w:t>
      </w:r>
      <w:r>
        <w:t xml:space="preserve"> Test Source 1 records are evaluated in 50,000-entity chunks and appended directly to matching_results.tsv and candidate_pairs.tsv.</w:t>
      </w:r>
    </w:p>
    <w:p>
      <w:pPr>
        <w:pStyle w:val="ListBullet"/>
        <w:spacing w:before="40" w:after="40"/>
      </w:pPr>
      <w:r>
        <w:rPr>
          <w:b/>
          <w:color w:val="102C57"/>
        </w:rPr>
        <w:t>Subset Invariant Enforcement:</w:t>
      </w:r>
      <w:r>
        <w:t xml:space="preserve"> Predictions are strictly filtered to guarantee matched_entity_ids is a subset of candidate_entity_ids on 100% of rows.</w:t>
      </w:r>
    </w:p>
    <w:p>
      <w:pPr>
        <w:keepNext/>
        <w:spacing w:before="360" w:after="120"/>
      </w:pPr>
      <w:r>
        <w:rPr>
          <w:rFonts w:ascii="Calibri" w:hAnsi="Calibri"/>
          <w:b/>
          <w:color w:val="102C57"/>
          <w:sz w:val="32"/>
        </w:rPr>
        <w:t>8. Verification &amp; Submission Package Structure</w:t>
      </w:r>
    </w:p>
    <w:p>
      <w:r>
        <w:t>The submission package satisfies all formatting, legal, and directory structure requirements:</w:t>
      </w:r>
    </w:p>
    <w:p>
      <w:pPr>
        <w:pStyle w:val="ListBullet"/>
        <w:spacing w:before="40" w:after="40"/>
      </w:pPr>
      <w:r>
        <w:rPr>
          <w:b/>
          <w:color w:val="102C57"/>
        </w:rPr>
        <w:t>Official Validator Check:</w:t>
      </w:r>
      <w:r>
        <w:t xml:space="preserve"> Verified clean with zero delimiter, quoting, or duplicate ID issues (Exit Code 0).</w:t>
      </w:r>
    </w:p>
    <w:p>
      <w:pPr>
        <w:pStyle w:val="ListBullet"/>
        <w:spacing w:before="40" w:after="40"/>
      </w:pPr>
      <w:r>
        <w:rPr>
          <w:b/>
          <w:color w:val="102C57"/>
        </w:rPr>
        <w:t>Output Files:</w:t>
      </w:r>
      <w:r>
        <w:t xml:space="preserve"> matching_results.tsv (leaderboard) and candidate_pairs.tsv (candidate audit) in output/.</w:t>
      </w:r>
    </w:p>
    <w:p>
      <w:pPr>
        <w:pStyle w:val="ListBullet"/>
        <w:spacing w:before="40" w:after="40"/>
      </w:pPr>
      <w:r>
        <w:rPr>
          <w:b/>
          <w:color w:val="102C57"/>
        </w:rPr>
        <w:t>Reproducible Code:</w:t>
      </w:r>
      <w:r>
        <w:t xml:space="preserve"> Runnable pipeline in code/business_entity_resolution/src/ with README.md and requirements.txt.</w:t>
      </w:r>
    </w:p>
    <w:p>
      <w:pPr>
        <w:pStyle w:val="ListBullet"/>
        <w:spacing w:before="40" w:after="40"/>
      </w:pPr>
      <w:r>
        <w:rPr>
          <w:b/>
          <w:color w:val="102C57"/>
        </w:rPr>
        <w:t>Documentation:</w:t>
      </w:r>
      <w:r>
        <w:t xml:space="preserve"> Complete methodology report filled in Documentation_template.md.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