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E293B"/>
          <w:sz w:val="40"/>
        </w:rPr>
        <w:t>Marcus Sterling</w:t>
      </w:r>
    </w:p>
    <w:p>
      <w:pPr>
        <w:spacing w:after="240"/>
      </w:pPr>
      <w:r>
        <w:rPr>
          <w:color w:val="64748B"/>
          <w:sz w:val="19"/>
        </w:rPr>
        <w:t>marcus.sterling@devopscloud.net | (555) 456-7890 | Austin, TX | linkedin.com/in/marcussterling | github.com/msterling-ops</w:t>
      </w:r>
    </w:p>
    <w:p>
      <w:pPr>
        <w:spacing w:before="160" w:after="80"/>
      </w:pPr>
      <w:r>
        <w:rPr>
          <w:b/>
          <w:color w:val="4338CA"/>
          <w:sz w:val="22"/>
        </w:rPr>
        <w:t>PROFESSIONAL SUMMARY</w:t>
      </w:r>
    </w:p>
    <w:p>
      <w:pPr>
        <w:spacing w:after="80"/>
      </w:pPr>
      <w:r>
        <w:rPr>
          <w:color w:val="475569"/>
          <w:sz w:val="19"/>
        </w:rPr>
        <w:t>Staff Cloud &amp; DevOps Architect with 8+ years of experience leading multi-cloud infrastructure transformations, zero-trust security postures, and Kubernetes cluster orchestration. Proven record of achieving 99.999% system availability and saving $320k in annual compute expenses.</w:t>
      </w:r>
    </w:p>
    <w:p>
      <w:pPr>
        <w:spacing w:before="160" w:after="80"/>
      </w:pPr>
      <w:r>
        <w:rPr>
          <w:b/>
          <w:color w:val="4338CA"/>
          <w:sz w:val="22"/>
        </w:rPr>
        <w:t>TECHNICAL SKILLS</w:t>
      </w:r>
    </w:p>
    <w:p>
      <w:pPr>
        <w:spacing w:after="80"/>
      </w:pPr>
      <w:r>
        <w:rPr>
          <w:color w:val="475569"/>
          <w:sz w:val="19"/>
        </w:rPr>
        <w:t>Cloud Platforms: AWS (EKS, VPC, CloudFront, IAM), Google Cloud Platform (GKE), Azure</w:t>
        <w:br/>
        <w:t>Infrastructure as Code: Terraform, Terragrunt, Ansible, CloudFormation</w:t>
        <w:br/>
        <w:t>CI/CD &amp; Containers: Kubernetes, Docker, Helm, ArgoCD, GitLab CI, GitHub Actions, Jenkins</w:t>
        <w:br/>
        <w:t>Observability: Prometheus, Grafana, Datadog, OpenTelemetry, ELK Stack</w:t>
      </w:r>
    </w:p>
    <w:p>
      <w:pPr>
        <w:spacing w:before="160" w:after="80"/>
      </w:pPr>
      <w:r>
        <w:rPr>
          <w:b/>
          <w:color w:val="4338CA"/>
          <w:sz w:val="22"/>
        </w:rPr>
        <w:t>WORK EXPERIENCE</w:t>
      </w:r>
    </w:p>
    <w:p>
      <w:pPr>
        <w:spacing w:after="40"/>
      </w:pPr>
      <w:r>
        <w:rPr>
          <w:b/>
          <w:color w:val="334155"/>
          <w:sz w:val="20"/>
        </w:rPr>
        <w:t>Principal DevOps Architect | FinTech Velocity (2021 – Present)</w:t>
      </w:r>
    </w:p>
    <w:p>
      <w:pPr>
        <w:pStyle w:val="ListBullet"/>
        <w:spacing w:after="40"/>
      </w:pPr>
      <w:r>
        <w:rPr>
          <w:color w:val="475569"/>
          <w:sz w:val="19"/>
        </w:rPr>
        <w:t>Architected multi-region Kubernetes cluster deployment on AWS handling 15,000 requests per second with automated failover and zero data loss.</w:t>
      </w:r>
    </w:p>
    <w:p>
      <w:pPr>
        <w:pStyle w:val="ListBullet"/>
        <w:spacing w:after="40"/>
      </w:pPr>
      <w:r>
        <w:rPr>
          <w:color w:val="475569"/>
          <w:sz w:val="19"/>
        </w:rPr>
        <w:t>Consolidated 40+ legacy services into automated Terraform modules, reducing new environment provisioning time from 5 days to 20 minutes.</w:t>
      </w:r>
    </w:p>
    <w:p>
      <w:pPr>
        <w:pStyle w:val="ListBullet"/>
        <w:spacing w:after="40"/>
      </w:pPr>
      <w:r>
        <w:rPr>
          <w:color w:val="475569"/>
          <w:sz w:val="19"/>
        </w:rPr>
        <w:t>Introduced GitOps workflow using ArgoCD and Helm, decreasing deployment failure rates by 65% across 24 engineering teams.</w:t>
      </w:r>
    </w:p>
    <w:p>
      <w:pPr>
        <w:pStyle w:val="ListBullet"/>
        <w:spacing w:after="40"/>
      </w:pPr>
      <w:r>
        <w:rPr>
          <w:color w:val="475569"/>
          <w:sz w:val="19"/>
        </w:rPr>
        <w:t>Overhauled AWS cost governance and rightsized Spot instance pools, reducing annual cloud compute bill by $320,000.</w:t>
      </w:r>
    </w:p>
    <w:p>
      <w:pPr>
        <w:spacing w:after="40"/>
      </w:pPr>
      <w:r>
        <w:rPr>
          <w:b/>
          <w:color w:val="334155"/>
          <w:sz w:val="20"/>
        </w:rPr>
        <w:t>Cloud Infrastructure Engineer | ScaleCloud Partners (2017 – 2021)</w:t>
      </w:r>
    </w:p>
    <w:p>
      <w:pPr>
        <w:pStyle w:val="ListBullet"/>
        <w:spacing w:after="40"/>
      </w:pPr>
      <w:r>
        <w:rPr>
          <w:color w:val="475569"/>
          <w:sz w:val="19"/>
        </w:rPr>
        <w:t>Spearheaded migration of on-premise datacenter workloads to AWS VPC, finishing 2 months ahead of schedule.</w:t>
      </w:r>
    </w:p>
    <w:p>
      <w:pPr>
        <w:pStyle w:val="ListBullet"/>
        <w:spacing w:after="40"/>
      </w:pPr>
      <w:r>
        <w:rPr>
          <w:color w:val="475569"/>
          <w:sz w:val="19"/>
        </w:rPr>
        <w:t>Configured Prometheus and Grafana alerts across 200+ nodes, cutting Mean Time to Detect (MTTD) incidents by 50%.</w:t>
      </w:r>
    </w:p>
    <w:p>
      <w:pPr>
        <w:spacing w:before="160" w:after="80"/>
      </w:pPr>
      <w:r>
        <w:rPr>
          <w:b/>
          <w:color w:val="4338CA"/>
          <w:sz w:val="22"/>
        </w:rPr>
        <w:t>EDUCATION</w:t>
      </w:r>
    </w:p>
    <w:p>
      <w:pPr>
        <w:spacing w:after="40"/>
      </w:pPr>
      <w:r>
        <w:rPr>
          <w:b/>
          <w:color w:val="334155"/>
          <w:sz w:val="20"/>
        </w:rPr>
        <w:t>Bachelor of Science in Information Systems | University of Texas at Austin (2013 – 2017)</w:t>
      </w:r>
    </w:p>
    <w:p>
      <w:pPr>
        <w:spacing w:before="160" w:after="80"/>
      </w:pPr>
      <w:r>
        <w:rPr>
          <w:b/>
          <w:color w:val="4338CA"/>
          <w:sz w:val="22"/>
        </w:rPr>
        <w:t>CERTIFICATIONS</w:t>
      </w:r>
    </w:p>
    <w:p>
      <w:pPr>
        <w:spacing w:after="80"/>
      </w:pPr>
      <w:r>
        <w:rPr>
          <w:color w:val="475569"/>
          <w:sz w:val="19"/>
        </w:rPr>
        <w:t>AWS Certified Solutions Architect – Professional</w:t>
        <w:br/>
        <w:t>Certified Kubernetes Administrator (CKA)</w:t>
        <w:br/>
        <w:t>HashiCorp Certified: Terraform Associate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