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rPr>
          <w:rFonts w:ascii="Calibri" w:cs="Calibri" w:eastAsia="Calibri" w:hAnsi="Calibri"/>
          <w:b/>
          <w:bCs/>
          <w:color w:val="1F4E78"/>
          <w:sz w:val="36"/>
          <w:szCs w:val="36"/>
        </w:rPr>
        <w:t xml:space="preserve">P P SAVANI UNIVERSITY
</w:t>
      </w:r>
      <w:r>
        <w:rPr>
          <w:rFonts w:ascii="Calibri" w:cs="Calibri" w:eastAsia="Calibri" w:hAnsi="Calibri"/>
          <w:b/>
          <w:bCs/>
          <w:color w:val="595959"/>
          <w:sz w:val="22"/>
          <w:szCs w:val="22"/>
        </w:rPr>
        <w:t xml:space="preserve">NAAC A+ ACCREDITED  •  SCHOOL OF ENGINEERING
</w:t>
      </w:r>
      <w:r>
        <w:rPr>
          <w:rFonts w:ascii="Calibri" w:cs="Calibri" w:eastAsia="Calibri" w:hAnsi="Calibri"/>
          <w:b/>
          <w:bCs/>
          <w:color w:val="385723"/>
          <w:sz w:val="22"/>
          <w:szCs w:val="22"/>
        </w:rPr>
        <w:t xml:space="preserve">DEPARTMENT OF INFORMATION TECHNOLOGY
</w:t>
      </w:r>
    </w:p>
    <w:p>
      <w:pPr>
        <w:spacing w:after="200" w:before="200"/>
        <w:jc w:val="center"/>
      </w:pPr>
      <w:r>
        <w:rPr>
          <w:rFonts w:ascii="Calibri" w:cs="Calibri" w:eastAsia="Calibri" w:hAnsi="Calibri"/>
          <w:b/>
          <w:bCs/>
          <w:color w:val="7F7F7F"/>
          <w:sz w:val="24"/>
          <w:szCs w:val="24"/>
        </w:rPr>
        <w:t xml:space="preserve">A FINAL COMPREHENSIVE PROJECT REPORT (BLACK BOOK)
</w:t>
      </w:r>
      <w:r>
        <w:rPr>
          <w:b/>
          <w:bCs/>
          <w:sz w:val="22"/>
          <w:szCs w:val="22"/>
        </w:rPr>
        <w:t xml:space="preserve">ON
</w:t>
      </w:r>
      <w:r>
        <w:rPr>
          <w:rFonts w:ascii="Calibri" w:cs="Calibri" w:eastAsia="Calibri" w:hAnsi="Calibri"/>
          <w:b/>
          <w:bCs/>
          <w:color w:val="002060"/>
          <w:sz w:val="30"/>
          <w:szCs w:val="30"/>
        </w:rPr>
        <w:t xml:space="preserve">CLOUD-NATIVE MULTI-TENANT ERP &amp; PRODUCTION MANAGEMENT SYSTEM FOR TEXTILE DYEING &amp; PROCESSING MILLS
</w:t>
      </w:r>
    </w:p>
    <w:p>
      <w:pPr>
        <w:spacing w:after="200" w:before="100"/>
        <w:jc w:val="center"/>
      </w:pPr>
      <w:r>
        <w:rPr>
          <w:i/>
          <w:iCs/>
          <w:sz w:val="20"/>
          <w:szCs w:val="20"/>
        </w:rPr>
        <w:t xml:space="preserve">Submitted in Partial Fulfillment of the Requirements for the Degree of
</w:t>
      </w:r>
      <w:r>
        <w:rPr>
          <w:b/>
          <w:bCs/>
          <w:sz w:val="22"/>
          <w:szCs w:val="22"/>
        </w:rPr>
        <w:t xml:space="preserve">BACHELOR OF TECHNOLOGY IN INFORMATION TECHNOLOGY
</w:t>
      </w:r>
    </w:p>
    <w:tbl>
      <w:tblPr>
        <w:tblW w:type="pct" w:w="100%"/>
        <w:tblBorders>
          <w:top w:val="none"/>
          <w:left w:val="none"/>
          <w:bottom w:val="none"/>
          <w:right w:val="none"/>
          <w:insideH w:val="none"/>
          <w:insideV w:val="none"/>
        </w:tblBorders>
      </w:tblPr>
      <w:tblGrid>
        <w:gridCol w:w="100"/>
        <w:gridCol w:w="100"/>
      </w:tblGrid>
      <w:tr>
        <w:tc>
          <w:tcPr>
            <w:tcW w:type="pct" w:w="50%"/>
          </w:tcPr>
          <w:p>
            <w:r>
              <w:rPr>
                <w:b/>
                <w:bCs/>
                <w:color w:val="1F4E78"/>
                <w:sz w:val="20"/>
                <w:szCs w:val="20"/>
              </w:rPr>
              <w:t xml:space="preserve">SUBMITTED BY:
</w:t>
            </w:r>
          </w:p>
          <w:p>
            <w:r>
              <w:rPr>
                <w:sz w:val="20"/>
                <w:szCs w:val="20"/>
              </w:rPr>
              <w:t xml:space="preserve">Deep Patel
Enrollment: 23SE02IT048
B.Tech IT, 7th/8th Semester</w:t>
            </w:r>
          </w:p>
        </w:tc>
        <w:tc>
          <w:tcPr>
            <w:tcW w:type="pct" w:w="50%"/>
          </w:tcPr>
          <w:p>
            <w:r>
              <w:rPr>
                <w:b/>
                <w:bCs/>
                <w:color w:val="1F4E78"/>
                <w:sz w:val="20"/>
                <w:szCs w:val="20"/>
              </w:rPr>
              <w:t xml:space="preserve">GUIDED BY:
</w:t>
            </w:r>
          </w:p>
          <w:p>
            <w:r>
              <w:rPr>
                <w:sz w:val="20"/>
                <w:szCs w:val="20"/>
              </w:rPr>
              <w:t xml:space="preserve">Mr. Ajay Chouhan (Institute Mentor)
Mr. Himanshu Prajapati (Company Mentor)
Techomax Solutions</w:t>
            </w:r>
          </w:p>
        </w:tc>
      </w:tr>
    </w:tbl>
    <w:p>
      <w:pPr>
        <w:pageBreakBefore/>
      </w:pPr>
    </w:p>
    <w:p>
      <w:pPr>
        <w:pStyle w:val="Heading1"/>
        <w:spacing w:after="140" w:before="300"/>
      </w:pPr>
      <w:r>
        <w:rPr>
          <w:rFonts w:ascii="Calibri" w:cs="Calibri" w:eastAsia="Calibri" w:hAnsi="Calibri"/>
          <w:b/>
          <w:bCs/>
          <w:color w:val="1F4E78"/>
          <w:sz w:val="28"/>
          <w:szCs w:val="28"/>
        </w:rPr>
        <w:t xml:space="preserve">CERTIFICATE OF APPROVAL</w:t>
      </w:r>
    </w:p>
    <w:p>
      <w:pPr>
        <w:spacing w:after="80" w:before="60" w:line="276"/>
      </w:pPr>
      <w:r>
        <w:t xml:space="preserve"/>
      </w:r>
      <w:r>
        <w:rPr>
          <w:rFonts w:ascii="Calibri" w:cs="Calibri" w:eastAsia="Calibri" w:hAnsi="Calibri"/>
          <w:sz w:val="21"/>
          <w:szCs w:val="21"/>
        </w:rPr>
        <w:t xml:space="preserve">This is to certify that the project report titled "Cloud-Native Multi-Tenant ERP &amp; Production Management System for Textile Dyeing &amp; Processing Mills" submitted by Deep Patel (Enrollment No: 23SE02IT048) is a bonafide record of work carried out under our supervision and guidance in partial fulfillment of the requirements for the degree of Bachelor of Technology in Information Technology at School of Engineering, P P Savani University during the academic year 2026.</w:t>
      </w:r>
    </w:p>
    <w:p>
      <w:pPr>
        <w:spacing w:after="100" w:before="300"/>
      </w:pP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c>
          <w:tcPr>
            <w:tcW w:type="pct" w:w="33%"/>
            <w:tcMar>
              <w:top w:type="dxa" w:w="120"/>
              <w:left w:type="dxa" w:w="150"/>
              <w:bottom w:type="dxa" w:w="120"/>
              <w:right w:type="dxa" w:w="150"/>
            </w:tcMar>
            <w:vAlign w:val="center"/>
          </w:tcPr>
          <w:p>
            <w:r>
              <w:rPr>
                <w:rFonts w:ascii="Calibri" w:cs="Calibri" w:eastAsia="Calibri" w:hAnsi="Calibri"/>
                <w:b/>
                <w:bCs/>
                <w:color w:val="000000"/>
                <w:sz w:val="20"/>
                <w:szCs w:val="20"/>
              </w:rPr>
              <w:t xml:space="preserve">Mr. Ajay Chouhan
Institute Mentor
SoE, PPSU</w:t>
            </w:r>
          </w:p>
        </w:tc>
        <w:tc>
          <w:tcPr>
            <w:tcW w:type="pct" w:w="33%"/>
            <w:tcMar>
              <w:top w:type="dxa" w:w="120"/>
              <w:left w:type="dxa" w:w="150"/>
              <w:bottom w:type="dxa" w:w="120"/>
              <w:right w:type="dxa" w:w="150"/>
            </w:tcMar>
            <w:vAlign w:val="center"/>
          </w:tcPr>
          <w:p>
            <w:r>
              <w:rPr>
                <w:rFonts w:ascii="Calibri" w:cs="Calibri" w:eastAsia="Calibri" w:hAnsi="Calibri"/>
                <w:b/>
                <w:bCs/>
                <w:color w:val="000000"/>
                <w:sz w:val="20"/>
                <w:szCs w:val="20"/>
              </w:rPr>
              <w:t xml:space="preserve">Mr. Himanshu Prajapati
Company Mentor
Techomax Solutions</w:t>
            </w:r>
          </w:p>
        </w:tc>
        <w:tc>
          <w:tcPr>
            <w:tcW w:type="pct" w:w="34%"/>
            <w:tcMar>
              <w:top w:type="dxa" w:w="120"/>
              <w:left w:type="dxa" w:w="150"/>
              <w:bottom w:type="dxa" w:w="120"/>
              <w:right w:type="dxa" w:w="150"/>
            </w:tcMar>
            <w:vAlign w:val="center"/>
          </w:tcPr>
          <w:p>
            <w:r>
              <w:rPr>
                <w:rFonts w:ascii="Calibri" w:cs="Calibri" w:eastAsia="Calibri" w:hAnsi="Calibri"/>
                <w:b/>
                <w:bCs/>
                <w:color w:val="000000"/>
                <w:sz w:val="20"/>
                <w:szCs w:val="20"/>
              </w:rPr>
              <w:t xml:space="preserve">Head of Department
Dept. of Information Tech
SoE, PPSU</w:t>
            </w:r>
          </w:p>
        </w:tc>
      </w:tr>
    </w:tbl>
    <w:p>
      <w:pPr>
        <w:pageBreakBefore/>
      </w:pPr>
    </w:p>
    <w:p>
      <w:pPr>
        <w:pStyle w:val="Heading1"/>
        <w:spacing w:after="140" w:before="300"/>
      </w:pPr>
      <w:r>
        <w:rPr>
          <w:rFonts w:ascii="Calibri" w:cs="Calibri" w:eastAsia="Calibri" w:hAnsi="Calibri"/>
          <w:b/>
          <w:bCs/>
          <w:color w:val="1F4E78"/>
          <w:sz w:val="28"/>
          <w:szCs w:val="28"/>
        </w:rPr>
        <w:t xml:space="preserve">ABSTRACT</w:t>
      </w:r>
    </w:p>
    <w:p>
      <w:pPr>
        <w:spacing w:after="80" w:before="60" w:line="276"/>
      </w:pPr>
      <w:r>
        <w:t xml:space="preserve"/>
      </w:r>
      <w:r>
        <w:rPr>
          <w:rFonts w:ascii="Calibri" w:cs="Calibri" w:eastAsia="Calibri" w:hAnsi="Calibri"/>
          <w:sz w:val="21"/>
          <w:szCs w:val="21"/>
        </w:rPr>
        <w:t xml:space="preserve">The commission-based textile processing cluster (e.g., Surat, Tirupur, Ahmedabad) operates on high volume, tight turnaround windows, and multi-stage chemical recipes. However, traditional standalone accounting packages or generic ERPs fail to address the core physical and regulatory constraints of textile wet processing—namely: dual Unit of Measure (UOM) conversions (inwarding in meters vs. chemical dosing by fabric mass in KG), stage-wise shrinkage and process loss tracking, ASTM D5430 4-Point visual defect scoring, and GST Section 143 job-work tax compliance.</w:t>
      </w:r>
    </w:p>
    <w:p>
      <w:pPr>
        <w:spacing w:after="80" w:before="60" w:line="276"/>
      </w:pPr>
      <w:r>
        <w:t xml:space="preserve"/>
      </w:r>
      <w:r>
        <w:rPr>
          <w:rFonts w:ascii="Calibri" w:cs="Calibri" w:eastAsia="Calibri" w:hAnsi="Calibri"/>
          <w:sz w:val="21"/>
          <w:szCs w:val="21"/>
        </w:rPr>
        <w:t xml:space="preserve">This project delivers a production-ready, cloud-native, multi-tenant Textile Enterprise Resource Planning (ERP) suite engineered with React 18, Vite, Node.js/Express, and Neon Cloud Serverless PostgreSQL. Key contributions include: (1) an automated roll-level (Taka) traveler system with streaming PDFKit QR code Lot Cards, (2) an intelligent batch scheduler with liquor ratio chemical dispensing calculations, (3) real-time utility consumption logging (Coal, Gas, Steam, Electricity), (4) automated ASTM D5430 4-point QC audit matrix with spectrophotometer CIELAB Delta E shade tolerance checks, and (5) dynamic per-lot cost sheet margin analysis factoring raw materials, fuel overheads, and machine hourly rates.</w:t>
      </w:r>
    </w:p>
    <w:p>
      <w:pPr>
        <w:pageBreakBefore/>
      </w:pPr>
    </w:p>
    <w:p>
      <w:pPr>
        <w:pStyle w:val="Heading1"/>
        <w:spacing w:after="140" w:before="300"/>
      </w:pPr>
      <w:r>
        <w:rPr>
          <w:rFonts w:ascii="Calibri" w:cs="Calibri" w:eastAsia="Calibri" w:hAnsi="Calibri"/>
          <w:b/>
          <w:bCs/>
          <w:color w:val="1F4E78"/>
          <w:sz w:val="28"/>
          <w:szCs w:val="28"/>
        </w:rPr>
        <w:t xml:space="preserve">CHAPTER 1: INTRODUCTION &amp; DOMAIN BACKGROUND</w:t>
      </w:r>
    </w:p>
    <w:p>
      <w:pPr>
        <w:pStyle w:val="Heading2"/>
        <w:spacing w:after="100" w:before="200"/>
      </w:pPr>
      <w:r>
        <w:rPr>
          <w:rFonts w:ascii="Calibri" w:cs="Calibri" w:eastAsia="Calibri" w:hAnsi="Calibri"/>
          <w:b/>
          <w:bCs/>
          <w:color w:val="2E75B6"/>
          <w:sz w:val="24"/>
          <w:szCs w:val="24"/>
        </w:rPr>
        <w:t xml:space="preserve">1.1 Background &amp; Motivation</w:t>
      </w:r>
    </w:p>
    <w:p>
      <w:pPr>
        <w:spacing w:after="80" w:before="60" w:line="276"/>
      </w:pPr>
      <w:r>
        <w:t xml:space="preserve"/>
      </w:r>
      <w:r>
        <w:rPr>
          <w:rFonts w:ascii="Calibri" w:cs="Calibri" w:eastAsia="Calibri" w:hAnsi="Calibri"/>
          <w:sz w:val="21"/>
          <w:szCs w:val="21"/>
        </w:rPr>
        <w:t xml:space="preserve">In commission dyeing and printing mills, fabric is received as 'Grey Fabric' (raw woven/knitted fabric) from traders or weavers. The mill processes the fabric through various chemical and mechanical stages (such as Desizing, Scouring, Bleaching, Jet Dyeing, Washing, Stenter Drying, and Zero-Zero Compacting) and dispatches the finished goods back to the trader under Job-Work contracts.</w:t>
      </w:r>
    </w:p>
    <w:p>
      <w:pPr>
        <w:pStyle w:val="Heading2"/>
        <w:spacing w:after="100" w:before="200"/>
      </w:pPr>
      <w:r>
        <w:rPr>
          <w:rFonts w:ascii="Calibri" w:cs="Calibri" w:eastAsia="Calibri" w:hAnsi="Calibri"/>
          <w:b/>
          <w:bCs/>
          <w:color w:val="2E75B6"/>
          <w:sz w:val="24"/>
          <w:szCs w:val="24"/>
        </w:rPr>
        <w:t xml:space="preserve">1.2 Key Domain Challenges Addressed</w:t>
      </w:r>
    </w:p>
    <w:p>
      <w:pPr>
        <w:pStyle w:val="ListParagraph"/>
        <w:numPr>
          <w:ilvl w:val="0"/>
          <w:numId w:val="1"/>
        </w:numPr>
        <w:spacing w:after="40" w:before="40" w:line="260"/>
      </w:pPr>
      <w:r>
        <w:rPr>
          <w:rFonts w:ascii="Calibri" w:cs="Calibri" w:eastAsia="Calibri" w:hAnsi="Calibri"/>
          <w:b/>
          <w:bCs/>
          <w:sz w:val="21"/>
          <w:szCs w:val="21"/>
        </w:rPr>
        <w:t xml:space="preserve">1. Dual Unit of Measure Discrepancy: </w:t>
      </w:r>
      <w:r>
        <w:rPr>
          <w:rFonts w:ascii="Calibri" w:cs="Calibri" w:eastAsia="Calibri" w:hAnsi="Calibri"/>
          <w:sz w:val="21"/>
          <w:szCs w:val="21"/>
        </w:rPr>
        <w:t xml:space="preserve">Fabrics arrive measured in meters, but all chemical reaction formulas and machine capacities depend on fabric mass (Kilograms). The system incorporates automated conversion based on GSM (Grams per Square Meter) and width.</w:t>
      </w:r>
    </w:p>
    <w:p>
      <w:pPr>
        <w:pStyle w:val="ListParagraph"/>
        <w:numPr>
          <w:ilvl w:val="0"/>
          <w:numId w:val="1"/>
        </w:numPr>
        <w:spacing w:after="40" w:before="40" w:line="260"/>
      </w:pPr>
      <w:r>
        <w:rPr>
          <w:rFonts w:ascii="Calibri" w:cs="Calibri" w:eastAsia="Calibri" w:hAnsi="Calibri"/>
          <w:b/>
          <w:bCs/>
          <w:sz w:val="21"/>
          <w:szCs w:val="21"/>
        </w:rPr>
        <w:t xml:space="preserve">2. Cumulative Process Shrinkage: </w:t>
      </w:r>
      <w:r>
        <w:rPr>
          <w:rFonts w:ascii="Calibri" w:cs="Calibri" w:eastAsia="Calibri" w:hAnsi="Calibri"/>
          <w:sz w:val="21"/>
          <w:szCs w:val="21"/>
        </w:rPr>
        <w:t xml:space="preserve">Fabrics undergo length contraction (3% to 8%) during wet processing. The system tracks stage-by-stage shrinkage so finished billing reconciles with inwarded greige.</w:t>
      </w:r>
    </w:p>
    <w:p>
      <w:pPr>
        <w:pStyle w:val="ListParagraph"/>
        <w:numPr>
          <w:ilvl w:val="0"/>
          <w:numId w:val="1"/>
        </w:numPr>
        <w:spacing w:after="40" w:before="40" w:line="260"/>
      </w:pPr>
      <w:r>
        <w:rPr>
          <w:rFonts w:ascii="Calibri" w:cs="Calibri" w:eastAsia="Calibri" w:hAnsi="Calibri"/>
          <w:b/>
          <w:bCs/>
          <w:sz w:val="21"/>
          <w:szCs w:val="21"/>
        </w:rPr>
        <w:t xml:space="preserve">3. Utility Cost Attribution: </w:t>
      </w:r>
      <w:r>
        <w:rPr>
          <w:rFonts w:ascii="Calibri" w:cs="Calibri" w:eastAsia="Calibri" w:hAnsi="Calibri"/>
          <w:sz w:val="21"/>
          <w:szCs w:val="21"/>
        </w:rPr>
        <w:t xml:space="preserve">Dyeing mills consume significant fuel (coal/gas/steam/power). Attributing utility costs per batch provides true operational profitability.</w:t>
      </w:r>
    </w:p>
    <w:p>
      <w:pPr>
        <w:pStyle w:val="ListParagraph"/>
        <w:numPr>
          <w:ilvl w:val="0"/>
          <w:numId w:val="1"/>
        </w:numPr>
        <w:spacing w:after="40" w:before="40" w:line="260"/>
      </w:pPr>
      <w:r>
        <w:rPr>
          <w:rFonts w:ascii="Calibri" w:cs="Calibri" w:eastAsia="Calibri" w:hAnsi="Calibri"/>
          <w:b/>
          <w:bCs/>
          <w:sz w:val="21"/>
          <w:szCs w:val="21"/>
        </w:rPr>
        <w:t xml:space="preserve">4. Strict Quality Standards (ASTM D5430): </w:t>
      </w:r>
      <w:r>
        <w:rPr>
          <w:rFonts w:ascii="Calibri" w:cs="Calibri" w:eastAsia="Calibri" w:hAnsi="Calibri"/>
          <w:sz w:val="21"/>
          <w:szCs w:val="21"/>
        </w:rPr>
        <w:t xml:space="preserve">Textile buyers inspect rolls using the 4-Point Defect system. The ERP automates point aggregation and pass/fail thresholds.</w:t>
      </w:r>
    </w:p>
    <w:p>
      <w:pPr>
        <w:pStyle w:val="ListParagraph"/>
        <w:numPr>
          <w:ilvl w:val="0"/>
          <w:numId w:val="1"/>
        </w:numPr>
        <w:spacing w:after="40" w:before="40" w:line="260"/>
      </w:pPr>
      <w:r>
        <w:rPr>
          <w:rFonts w:ascii="Calibri" w:cs="Calibri" w:eastAsia="Calibri" w:hAnsi="Calibri"/>
          <w:b/>
          <w:bCs/>
          <w:sz w:val="21"/>
          <w:szCs w:val="21"/>
        </w:rPr>
        <w:t xml:space="preserve">5. GST Section 143 Compliance: </w:t>
      </w:r>
      <w:r>
        <w:rPr>
          <w:rFonts w:ascii="Calibri" w:cs="Calibri" w:eastAsia="Calibri" w:hAnsi="Calibri"/>
          <w:sz w:val="21"/>
          <w:szCs w:val="21"/>
        </w:rPr>
        <w:t xml:space="preserve">Generates job-work delivery challans carrying mandatory transporter LR details and statutory job-work tax calculations.</w:t>
      </w:r>
    </w:p>
    <w:p>
      <w:pPr>
        <w:pageBreakBefore/>
      </w:pPr>
    </w:p>
    <w:p>
      <w:pPr>
        <w:pStyle w:val="Heading1"/>
        <w:spacing w:after="140" w:before="300"/>
      </w:pPr>
      <w:r>
        <w:rPr>
          <w:rFonts w:ascii="Calibri" w:cs="Calibri" w:eastAsia="Calibri" w:hAnsi="Calibri"/>
          <w:b/>
          <w:bCs/>
          <w:color w:val="1F4E78"/>
          <w:sz w:val="28"/>
          <w:szCs w:val="28"/>
        </w:rPr>
        <w:t xml:space="preserve">CHAPTER 2: SYSTEM ARCHITECTURE &amp; DESIGN</w:t>
      </w:r>
    </w:p>
    <w:p>
      <w:pPr>
        <w:pStyle w:val="Heading2"/>
        <w:spacing w:after="100" w:before="200"/>
      </w:pPr>
      <w:r>
        <w:rPr>
          <w:rFonts w:ascii="Calibri" w:cs="Calibri" w:eastAsia="Calibri" w:hAnsi="Calibri"/>
          <w:b/>
          <w:bCs/>
          <w:color w:val="2E75B6"/>
          <w:sz w:val="24"/>
          <w:szCs w:val="24"/>
        </w:rPr>
        <w:t xml:space="preserve">2.1 High-Level 3-Tier Architecture</w:t>
      </w:r>
    </w:p>
    <w:p>
      <w:pPr>
        <w:spacing w:after="80" w:before="60" w:line="276"/>
      </w:pPr>
      <w:r>
        <w:t xml:space="preserve"/>
      </w:r>
      <w:r>
        <w:rPr>
          <w:rFonts w:ascii="Calibri" w:cs="Calibri" w:eastAsia="Calibri" w:hAnsi="Calibri"/>
          <w:sz w:val="21"/>
          <w:szCs w:val="21"/>
        </w:rPr>
        <w:t xml:space="preserve">The application adopts a decoupled 3-tier cloud-native architecture ensuring high availability, sub-100ms API response latency, and complete multi-tenant tenant_id isolation:</w:t>
      </w:r>
    </w:p>
    <w:p>
      <w:pPr>
        <w:pStyle w:val="ListParagraph"/>
        <w:numPr>
          <w:ilvl w:val="0"/>
          <w:numId w:val="1"/>
        </w:numPr>
        <w:spacing w:after="40" w:before="40" w:line="260"/>
      </w:pPr>
      <w:r>
        <w:rPr>
          <w:rFonts w:ascii="Calibri" w:cs="Calibri" w:eastAsia="Calibri" w:hAnsi="Calibri"/>
          <w:b/>
          <w:bCs/>
          <w:sz w:val="21"/>
          <w:szCs w:val="21"/>
        </w:rPr>
        <w:t xml:space="preserve">1. Client Presentation Tier: </w:t>
      </w:r>
      <w:r>
        <w:rPr>
          <w:rFonts w:ascii="Calibri" w:cs="Calibri" w:eastAsia="Calibri" w:hAnsi="Calibri"/>
          <w:sz w:val="21"/>
          <w:szCs w:val="21"/>
        </w:rPr>
        <w:t xml:space="preserve">React 18 Single-Page Application (SPA) bundled with Vite, styled with Tailwind CSS, utilizing component-driven architecture and responsive layout grids.</w:t>
      </w:r>
    </w:p>
    <w:p>
      <w:pPr>
        <w:pStyle w:val="ListParagraph"/>
        <w:numPr>
          <w:ilvl w:val="0"/>
          <w:numId w:val="1"/>
        </w:numPr>
        <w:spacing w:after="40" w:before="40" w:line="260"/>
      </w:pPr>
      <w:r>
        <w:rPr>
          <w:rFonts w:ascii="Calibri" w:cs="Calibri" w:eastAsia="Calibri" w:hAnsi="Calibri"/>
          <w:b/>
          <w:bCs/>
          <w:sz w:val="21"/>
          <w:szCs w:val="21"/>
        </w:rPr>
        <w:t xml:space="preserve">2. Application / API Tier: </w:t>
      </w:r>
      <w:r>
        <w:rPr>
          <w:rFonts w:ascii="Calibri" w:cs="Calibri" w:eastAsia="Calibri" w:hAnsi="Calibri"/>
          <w:sz w:val="21"/>
          <w:szCs w:val="21"/>
        </w:rPr>
        <w:t xml:space="preserve">Node.js and Express RESTful API server with stateless JWT authentication middleware, PDF streaming via PDFKit, QR code generation, and transactional batch controllers.</w:t>
      </w:r>
    </w:p>
    <w:p>
      <w:pPr>
        <w:pStyle w:val="ListParagraph"/>
        <w:numPr>
          <w:ilvl w:val="0"/>
          <w:numId w:val="1"/>
        </w:numPr>
        <w:spacing w:after="40" w:before="40" w:line="260"/>
      </w:pPr>
      <w:r>
        <w:rPr>
          <w:rFonts w:ascii="Calibri" w:cs="Calibri" w:eastAsia="Calibri" w:hAnsi="Calibri"/>
          <w:b/>
          <w:bCs/>
          <w:sz w:val="21"/>
          <w:szCs w:val="21"/>
        </w:rPr>
        <w:t xml:space="preserve">3. Data &amp; Storage Tier: </w:t>
      </w:r>
      <w:r>
        <w:rPr>
          <w:rFonts w:ascii="Calibri" w:cs="Calibri" w:eastAsia="Calibri" w:hAnsi="Calibri"/>
          <w:sz w:val="21"/>
          <w:szCs w:val="21"/>
        </w:rPr>
        <w:t xml:space="preserve">Neon Cloud Serverless PostgreSQL with connection pooling, 28 normalized relational tables, cascading foreign keys, and indexed tenant UUID partitions.</w:t>
      </w:r>
    </w:p>
    <w:p>
      <w:pPr>
        <w:pStyle w:val="Heading2"/>
        <w:spacing w:after="100" w:before="200"/>
      </w:pPr>
      <w:r>
        <w:rPr>
          <w:rFonts w:ascii="Calibri" w:cs="Calibri" w:eastAsia="Calibri" w:hAnsi="Calibri"/>
          <w:b/>
          <w:bCs/>
          <w:color w:val="2E75B6"/>
          <w:sz w:val="24"/>
          <w:szCs w:val="24"/>
        </w:rPr>
        <w:t xml:space="preserve">2.2 Database Relational Model</w:t>
      </w:r>
    </w:p>
    <w:p>
      <w:pPr>
        <w:spacing w:after="80" w:before="60" w:line="276"/>
      </w:pPr>
      <w:r>
        <w:t xml:space="preserve"/>
      </w:r>
      <w:r>
        <w:rPr>
          <w:rFonts w:ascii="Calibri" w:cs="Calibri" w:eastAsia="Calibri" w:hAnsi="Calibri"/>
          <w:sz w:val="21"/>
          <w:szCs w:val="21"/>
        </w:rPr>
        <w:t xml:space="preserve">The database encompasses 28 tables categorized into core domains:</w:t>
      </w:r>
    </w:p>
    <w:p>
      <w:pPr>
        <w:pStyle w:val="ListParagraph"/>
        <w:numPr>
          <w:ilvl w:val="0"/>
          <w:numId w:val="1"/>
        </w:numPr>
        <w:spacing w:after="40" w:before="40" w:line="260"/>
      </w:pPr>
      <w:r>
        <w:rPr>
          <w:rFonts w:ascii="Calibri" w:cs="Calibri" w:eastAsia="Calibri" w:hAnsi="Calibri"/>
          <w:b/>
          <w:bCs/>
          <w:sz w:val="21"/>
          <w:szCs w:val="21"/>
        </w:rPr>
        <w:t xml:space="preserve">• Identity &amp; Tenancy: </w:t>
      </w:r>
      <w:r>
        <w:rPr>
          <w:rFonts w:ascii="Calibri" w:cs="Calibri" w:eastAsia="Calibri" w:hAnsi="Calibri"/>
          <w:sz w:val="21"/>
          <w:szCs w:val="21"/>
        </w:rPr>
        <w:t xml:space="preserve">tenants, users, roles, permissions.</w:t>
      </w:r>
    </w:p>
    <w:p>
      <w:pPr>
        <w:pStyle w:val="ListParagraph"/>
        <w:numPr>
          <w:ilvl w:val="0"/>
          <w:numId w:val="1"/>
        </w:numPr>
        <w:spacing w:after="40" w:before="40" w:line="260"/>
      </w:pPr>
      <w:r>
        <w:rPr>
          <w:rFonts w:ascii="Calibri" w:cs="Calibri" w:eastAsia="Calibri" w:hAnsi="Calibri"/>
          <w:b/>
          <w:bCs/>
          <w:sz w:val="21"/>
          <w:szCs w:val="21"/>
        </w:rPr>
        <w:t xml:space="preserve">• Master Registries: </w:t>
      </w:r>
      <w:r>
        <w:rPr>
          <w:rFonts w:ascii="Calibri" w:cs="Calibri" w:eastAsia="Calibri" w:hAnsi="Calibri"/>
          <w:sz w:val="21"/>
          <w:szCs w:val="21"/>
        </w:rPr>
        <w:t xml:space="preserve">parties, fabrics, shades, dye_chemicals, machines, process_templates, recipes, rate_masters.</w:t>
      </w:r>
    </w:p>
    <w:p>
      <w:pPr>
        <w:pStyle w:val="ListParagraph"/>
        <w:numPr>
          <w:ilvl w:val="0"/>
          <w:numId w:val="1"/>
        </w:numPr>
        <w:spacing w:after="40" w:before="40" w:line="260"/>
      </w:pPr>
      <w:r>
        <w:rPr>
          <w:rFonts w:ascii="Calibri" w:cs="Calibri" w:eastAsia="Calibri" w:hAnsi="Calibri"/>
          <w:b/>
          <w:bCs/>
          <w:sz w:val="21"/>
          <w:szCs w:val="21"/>
        </w:rPr>
        <w:t xml:space="preserve">• Production &amp; Operations: </w:t>
      </w:r>
      <w:r>
        <w:rPr>
          <w:rFonts w:ascii="Calibri" w:cs="Calibri" w:eastAsia="Calibri" w:hAnsi="Calibri"/>
          <w:sz w:val="21"/>
          <w:szCs w:val="21"/>
        </w:rPr>
        <w:t xml:space="preserve">job_orders, lots, lot_takas, batch_runs, batch_utility_logs, production_entries.</w:t>
      </w:r>
    </w:p>
    <w:p>
      <w:pPr>
        <w:pStyle w:val="ListParagraph"/>
        <w:numPr>
          <w:ilvl w:val="0"/>
          <w:numId w:val="1"/>
        </w:numPr>
        <w:spacing w:after="40" w:before="40" w:line="260"/>
      </w:pPr>
      <w:r>
        <w:rPr>
          <w:rFonts w:ascii="Calibri" w:cs="Calibri" w:eastAsia="Calibri" w:hAnsi="Calibri"/>
          <w:b/>
          <w:bCs/>
          <w:sz w:val="21"/>
          <w:szCs w:val="21"/>
        </w:rPr>
        <w:t xml:space="preserve">• Quality Assurance: </w:t>
      </w:r>
      <w:r>
        <w:rPr>
          <w:rFonts w:ascii="Calibri" w:cs="Calibri" w:eastAsia="Calibri" w:hAnsi="Calibri"/>
          <w:sz w:val="21"/>
          <w:szCs w:val="21"/>
        </w:rPr>
        <w:t xml:space="preserve">qc_inspections, qc_defect_entries, lab_tests, reprocess_records.</w:t>
      </w:r>
    </w:p>
    <w:p>
      <w:pPr>
        <w:pStyle w:val="ListParagraph"/>
        <w:numPr>
          <w:ilvl w:val="0"/>
          <w:numId w:val="1"/>
        </w:numPr>
        <w:spacing w:after="40" w:before="40" w:line="260"/>
      </w:pPr>
      <w:r>
        <w:rPr>
          <w:rFonts w:ascii="Calibri" w:cs="Calibri" w:eastAsia="Calibri" w:hAnsi="Calibri"/>
          <w:b/>
          <w:bCs/>
          <w:sz w:val="21"/>
          <w:szCs w:val="21"/>
        </w:rPr>
        <w:t xml:space="preserve">• Dispatch &amp; Accounting: </w:t>
      </w:r>
      <w:r>
        <w:rPr>
          <w:rFonts w:ascii="Calibri" w:cs="Calibri" w:eastAsia="Calibri" w:hAnsi="Calibri"/>
          <w:sz w:val="21"/>
          <w:szCs w:val="21"/>
        </w:rPr>
        <w:t xml:space="preserve">packing_lists, packing_list_items, dispatch_challans, party_ledger, lot_cost_sheets.</w:t>
      </w:r>
    </w:p>
    <w:p>
      <w:pPr>
        <w:pageBreakBefore/>
      </w:pPr>
    </w:p>
    <w:p>
      <w:pPr>
        <w:pStyle w:val="Heading1"/>
        <w:spacing w:after="140" w:before="300"/>
      </w:pPr>
      <w:r>
        <w:rPr>
          <w:rFonts w:ascii="Calibri" w:cs="Calibri" w:eastAsia="Calibri" w:hAnsi="Calibri"/>
          <w:b/>
          <w:bCs/>
          <w:color w:val="1F4E78"/>
          <w:sz w:val="28"/>
          <w:szCs w:val="28"/>
        </w:rPr>
        <w:t xml:space="preserve">CHAPTER 3: DETAILED IMPLEMENTATION</w:t>
      </w:r>
    </w:p>
    <w:p>
      <w:pPr>
        <w:pStyle w:val="Heading2"/>
        <w:spacing w:after="100" w:before="200"/>
      </w:pPr>
      <w:r>
        <w:rPr>
          <w:rFonts w:ascii="Calibri" w:cs="Calibri" w:eastAsia="Calibri" w:hAnsi="Calibri"/>
          <w:b/>
          <w:bCs/>
          <w:color w:val="2E75B6"/>
          <w:sz w:val="24"/>
          <w:szCs w:val="24"/>
        </w:rPr>
        <w:t xml:space="preserve">3.1 Master Data &amp; Recipe Formulation</w:t>
      </w:r>
    </w:p>
    <w:p>
      <w:pPr>
        <w:spacing w:after="80" w:before="60" w:line="276"/>
      </w:pPr>
      <w:r>
        <w:t xml:space="preserve"/>
      </w:r>
      <w:r>
        <w:rPr>
          <w:rFonts w:ascii="Calibri" w:cs="Calibri" w:eastAsia="Calibri" w:hAnsi="Calibri"/>
          <w:sz w:val="21"/>
          <w:szCs w:val="21"/>
        </w:rPr>
        <w:t xml:space="preserve">The system features dynamic inline creation modals for 8 master entities. Dye recipes compute precise chemical dispensing based on liquor ratios (e.g. 1:10) and fabric weight.</w:t>
      </w:r>
    </w:p>
    <w:p>
      <w:pPr>
        <w:pStyle w:val="Heading2"/>
        <w:spacing w:after="100" w:before="200"/>
      </w:pPr>
      <w:r>
        <w:rPr>
          <w:rFonts w:ascii="Calibri" w:cs="Calibri" w:eastAsia="Calibri" w:hAnsi="Calibri"/>
          <w:b/>
          <w:bCs/>
          <w:color w:val="2E75B6"/>
          <w:sz w:val="24"/>
          <w:szCs w:val="24"/>
        </w:rPr>
        <w:t xml:space="preserve">3.2 Roll-Level (Taka) Tracking &amp; QR Lot Cards</w:t>
      </w:r>
    </w:p>
    <w:p>
      <w:pPr>
        <w:spacing w:after="80" w:before="60" w:line="276"/>
      </w:pPr>
      <w:r>
        <w:t xml:space="preserve"/>
      </w:r>
      <w:r>
        <w:rPr>
          <w:rFonts w:ascii="Calibri" w:cs="Calibri" w:eastAsia="Calibri" w:hAnsi="Calibri"/>
          <w:sz w:val="21"/>
          <w:szCs w:val="21"/>
        </w:rPr>
        <w:t xml:space="preserve">Every inwarded lot is split into individual rolls (Takas). The backend dynamically streams vector PDF Lot Traveler Cards with embedded QR codes that floor operators scan at each machine station.</w:t>
      </w:r>
    </w:p>
    <w:p>
      <w:pPr>
        <w:pStyle w:val="Heading2"/>
        <w:spacing w:after="100" w:before="200"/>
      </w:pPr>
      <w:r>
        <w:rPr>
          <w:rFonts w:ascii="Calibri" w:cs="Calibri" w:eastAsia="Calibri" w:hAnsi="Calibri"/>
          <w:b/>
          <w:bCs/>
          <w:color w:val="2E75B6"/>
          <w:sz w:val="24"/>
          <w:szCs w:val="24"/>
        </w:rPr>
        <w:t xml:space="preserve">3.3 Production Batch Routing &amp; Utility Logging</w:t>
      </w:r>
    </w:p>
    <w:p>
      <w:pPr>
        <w:spacing w:after="80" w:before="60" w:line="276"/>
      </w:pPr>
      <w:r>
        <w:t xml:space="preserve"/>
      </w:r>
      <w:r>
        <w:rPr>
          <w:rFonts w:ascii="Calibri" w:cs="Calibri" w:eastAsia="Calibri" w:hAnsi="Calibri"/>
          <w:sz w:val="21"/>
          <w:szCs w:val="21"/>
        </w:rPr>
        <w:t xml:space="preserve">Floor managers allocate batches to machines (Jet Dyeing, Stenter, Relax Dryer) and log shift-wise fuel consumption (Coal kg, Gas m³, Steam kg, Power kWh). Utility costs are automatically factored into the lot cost sheet.</w:t>
      </w:r>
    </w:p>
    <w:p>
      <w:pPr>
        <w:pStyle w:val="Heading2"/>
        <w:spacing w:after="100" w:before="200"/>
      </w:pPr>
      <w:r>
        <w:rPr>
          <w:rFonts w:ascii="Calibri" w:cs="Calibri" w:eastAsia="Calibri" w:hAnsi="Calibri"/>
          <w:b/>
          <w:bCs/>
          <w:color w:val="2E75B6"/>
          <w:sz w:val="24"/>
          <w:szCs w:val="24"/>
        </w:rPr>
        <w:t xml:space="preserve">3.4 ASTM D5430 4-Point QC Audit</w:t>
      </w:r>
    </w:p>
    <w:p>
      <w:pPr>
        <w:spacing w:after="80" w:before="60" w:line="276"/>
      </w:pPr>
      <w:r>
        <w:t xml:space="preserve"/>
      </w:r>
      <w:r>
        <w:rPr>
          <w:rFonts w:ascii="Calibri" w:cs="Calibri" w:eastAsia="Calibri" w:hAnsi="Calibri"/>
          <w:sz w:val="21"/>
          <w:szCs w:val="21"/>
        </w:rPr>
        <w:t xml:space="preserve">The QC inspection module implements the international 4-point fabric inspection formula:</w:t>
      </w:r>
    </w:p>
    <w:p>
      <w:pPr>
        <w:spacing w:after="80" w:before="60" w:line="276"/>
      </w:pPr>
      <w:r>
        <w:t xml:space="preserve"/>
      </w:r>
      <w:r>
        <w:rPr>
          <w:rFonts w:ascii="Calibri" w:cs="Calibri" w:eastAsia="Calibri" w:hAnsi="Calibri"/>
          <w:sz w:val="21"/>
          <w:szCs w:val="21"/>
        </w:rPr>
        <w:t xml:space="preserve">Points per 100 sq. m = (Total Defect Points * 10,000) / (Meters Inspected * Width in cm)</w:t>
      </w:r>
    </w:p>
    <w:p>
      <w:pPr>
        <w:spacing w:after="80" w:before="60" w:line="276"/>
      </w:pPr>
      <w:r>
        <w:t xml:space="preserve"/>
      </w:r>
      <w:r>
        <w:rPr>
          <w:rFonts w:ascii="Calibri" w:cs="Calibri" w:eastAsia="Calibri" w:hAnsi="Calibri"/>
          <w:sz w:val="21"/>
          <w:szCs w:val="21"/>
        </w:rPr>
        <w:t xml:space="preserve">Batches scoring &lt;= 28 points are marked as PASS, while failing rolls are routed to the reprocess queue.</w:t>
      </w:r>
    </w:p>
    <w:p>
      <w:pPr>
        <w:pStyle w:val="Heading2"/>
        <w:spacing w:after="100" w:before="200"/>
      </w:pPr>
      <w:r>
        <w:rPr>
          <w:rFonts w:ascii="Calibri" w:cs="Calibri" w:eastAsia="Calibri" w:hAnsi="Calibri"/>
          <w:b/>
          <w:bCs/>
          <w:color w:val="2E75B6"/>
          <w:sz w:val="24"/>
          <w:szCs w:val="24"/>
        </w:rPr>
        <w:t xml:space="preserve">3.5 Finance &amp; Lot Profitability Cost Sheet</w:t>
      </w:r>
    </w:p>
    <w:p>
      <w:pPr>
        <w:spacing w:after="80" w:before="60" w:line="276"/>
      </w:pPr>
      <w:r>
        <w:t xml:space="preserve"/>
      </w:r>
      <w:r>
        <w:rPr>
          <w:rFonts w:ascii="Calibri" w:cs="Calibri" w:eastAsia="Calibri" w:hAnsi="Calibri"/>
          <w:sz w:val="21"/>
          <w:szCs w:val="21"/>
        </w:rPr>
        <w:t xml:space="preserve">The lot costing engine computes gross profit margins by aggregating raw greige value, dynamic chemical costs, machine hourly rates, utility fuel logs, and direct labor overheads.</w:t>
      </w:r>
    </w:p>
    <w:p>
      <w:pPr>
        <w:pageBreakBefore/>
      </w:pPr>
    </w:p>
    <w:p>
      <w:pPr>
        <w:pStyle w:val="Heading1"/>
        <w:spacing w:after="140" w:before="300"/>
      </w:pPr>
      <w:r>
        <w:rPr>
          <w:rFonts w:ascii="Calibri" w:cs="Calibri" w:eastAsia="Calibri" w:hAnsi="Calibri"/>
          <w:b/>
          <w:bCs/>
          <w:color w:val="1F4E78"/>
          <w:sz w:val="28"/>
          <w:szCs w:val="28"/>
        </w:rPr>
        <w:t xml:space="preserve">CHAPTER 4: TESTING, VALIDATION &amp; BENCHMARKS</w:t>
      </w:r>
    </w:p>
    <w:p>
      <w:pPr>
        <w:pStyle w:val="Heading2"/>
        <w:spacing w:after="100" w:before="200"/>
      </w:pPr>
      <w:r>
        <w:rPr>
          <w:rFonts w:ascii="Calibri" w:cs="Calibri" w:eastAsia="Calibri" w:hAnsi="Calibri"/>
          <w:b/>
          <w:bCs/>
          <w:color w:val="2E75B6"/>
          <w:sz w:val="24"/>
          <w:szCs w:val="24"/>
        </w:rPr>
        <w:t xml:space="preserve">4.1 Functional &amp; Integration Test Suite</w:t>
      </w:r>
    </w:p>
    <w:p>
      <w:pPr>
        <w:spacing w:after="80" w:before="60" w:line="276"/>
      </w:pPr>
      <w:r>
        <w:t xml:space="preserve"/>
      </w:r>
      <w:r>
        <w:rPr>
          <w:rFonts w:ascii="Calibri" w:cs="Calibri" w:eastAsia="Calibri" w:hAnsi="Calibri"/>
          <w:sz w:val="21"/>
          <w:szCs w:val="21"/>
        </w:rPr>
        <w:t xml:space="preserve">All core workflows were tested with comprehensive validation suites:</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c>
          <w:tcPr>
            <w:tcW w:type="pct" w:w="12%"/>
            <w:shd w:fill="F2F2F2" w:val="clear"/>
            <w:tcMar>
              <w:top w:type="dxa" w:w="120"/>
              <w:left w:type="dxa" w:w="150"/>
              <w:bottom w:type="dxa" w:w="120"/>
              <w:right w:type="dxa" w:w="150"/>
            </w:tcMar>
            <w:vAlign w:val="center"/>
          </w:tcPr>
          <w:p>
            <w:r>
              <w:rPr>
                <w:rFonts w:ascii="Calibri" w:cs="Calibri" w:eastAsia="Calibri" w:hAnsi="Calibri"/>
                <w:b/>
                <w:bCs/>
                <w:color w:val="000000"/>
                <w:sz w:val="20"/>
                <w:szCs w:val="20"/>
              </w:rPr>
              <w:t xml:space="preserve">Test ID</w:t>
            </w:r>
          </w:p>
        </w:tc>
        <w:tc>
          <w:tcPr>
            <w:tcW w:type="pct" w:w="30%"/>
            <w:shd w:fill="F2F2F2" w:val="clear"/>
            <w:tcMar>
              <w:top w:type="dxa" w:w="120"/>
              <w:left w:type="dxa" w:w="150"/>
              <w:bottom w:type="dxa" w:w="120"/>
              <w:right w:type="dxa" w:w="150"/>
            </w:tcMar>
            <w:vAlign w:val="center"/>
          </w:tcPr>
          <w:p>
            <w:r>
              <w:rPr>
                <w:rFonts w:ascii="Calibri" w:cs="Calibri" w:eastAsia="Calibri" w:hAnsi="Calibri"/>
                <w:b/>
                <w:bCs/>
                <w:color w:val="000000"/>
                <w:sz w:val="20"/>
                <w:szCs w:val="20"/>
              </w:rPr>
              <w:t xml:space="preserve">Module / Function</w:t>
            </w:r>
          </w:p>
        </w:tc>
        <w:tc>
          <w:tcPr>
            <w:tcW w:type="pct" w:w="38%"/>
            <w:shd w:fill="F2F2F2" w:val="clear"/>
            <w:tcMar>
              <w:top w:type="dxa" w:w="120"/>
              <w:left w:type="dxa" w:w="150"/>
              <w:bottom w:type="dxa" w:w="120"/>
              <w:right w:type="dxa" w:w="150"/>
            </w:tcMar>
            <w:vAlign w:val="center"/>
          </w:tcPr>
          <w:p>
            <w:r>
              <w:rPr>
                <w:rFonts w:ascii="Calibri" w:cs="Calibri" w:eastAsia="Calibri" w:hAnsi="Calibri"/>
                <w:b/>
                <w:bCs/>
                <w:color w:val="000000"/>
                <w:sz w:val="20"/>
                <w:szCs w:val="20"/>
              </w:rPr>
              <w:t xml:space="preserve">Expected Result</w:t>
            </w:r>
          </w:p>
        </w:tc>
        <w:tc>
          <w:tcPr>
            <w:tcW w:type="pct" w:w="20%"/>
            <w:shd w:fill="F2F2F2" w:val="clear"/>
            <w:tcMar>
              <w:top w:type="dxa" w:w="120"/>
              <w:left w:type="dxa" w:w="150"/>
              <w:bottom w:type="dxa" w:w="120"/>
              <w:right w:type="dxa" w:w="150"/>
            </w:tcMar>
            <w:vAlign w:val="center"/>
          </w:tcPr>
          <w:p>
            <w:r>
              <w:rPr>
                <w:rFonts w:ascii="Calibri" w:cs="Calibri" w:eastAsia="Calibri" w:hAnsi="Calibri"/>
                <w:b/>
                <w:bCs/>
                <w:color w:val="000000"/>
                <w:sz w:val="20"/>
                <w:szCs w:val="20"/>
              </w:rPr>
              <w:t xml:space="preserve">Status</w:t>
            </w:r>
          </w:p>
        </w:tc>
      </w:tr>
      <w:tr>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TC-01</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Multi-Tenant Auth</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Tenant-isolated JWT tokens and role access</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PASS</w:t>
            </w:r>
          </w:p>
        </w:tc>
      </w:tr>
      <w:tr>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TC-02</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Taka Mass Derivation</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Calculates mass from GSM and width (+-0.05kg)</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PASS</w:t>
            </w:r>
          </w:p>
        </w:tc>
      </w:tr>
      <w:tr>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TC-03</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QR PDF Streaming</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Vector PDF generated and streamed in &lt; 280ms</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PASS</w:t>
            </w:r>
          </w:p>
        </w:tc>
      </w:tr>
      <w:tr>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TC-04</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Utility Cost Aggregation</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Sums Coal/Gas/Steam/Power per batch run</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PASS</w:t>
            </w:r>
          </w:p>
        </w:tc>
      </w:tr>
      <w:tr>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TC-05</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ASTM 4-Point QC</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Correctly grades fabric quality (&lt;=28 pts)</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PASS</w:t>
            </w:r>
          </w:p>
        </w:tc>
      </w:tr>
      <w:tr>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TC-06</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GST Section 143 Challan</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Generates challan and updates inventory</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PASS</w:t>
            </w:r>
          </w:p>
        </w:tc>
      </w:tr>
      <w:tr>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TC-07</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Lot Profitability Costing</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Computes chemical + fuel + machine margins</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PASS</w:t>
            </w:r>
          </w:p>
        </w:tc>
      </w:tr>
      <w:tr>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TC-08</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Cross-Device UI</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Responsive across desktop, tablet, and mobile</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PASS</w:t>
            </w:r>
          </w:p>
        </w:tc>
      </w:tr>
    </w:tbl>
    <w:p>
      <w:pPr>
        <w:pStyle w:val="Heading2"/>
        <w:spacing w:after="100" w:before="200"/>
      </w:pPr>
      <w:r>
        <w:rPr>
          <w:rFonts w:ascii="Calibri" w:cs="Calibri" w:eastAsia="Calibri" w:hAnsi="Calibri"/>
          <w:b/>
          <w:bCs/>
          <w:color w:val="2E75B6"/>
          <w:sz w:val="24"/>
          <w:szCs w:val="24"/>
        </w:rPr>
        <w:t xml:space="preserve">4.2 High-Concurrency Load Test Results</w:t>
      </w:r>
    </w:p>
    <w:p>
      <w:pPr>
        <w:spacing w:after="80" w:before="60" w:line="276"/>
      </w:pPr>
      <w:r>
        <w:t xml:space="preserve"/>
      </w:r>
      <w:r>
        <w:rPr>
          <w:rFonts w:ascii="Calibri" w:cs="Calibri" w:eastAsia="Calibri" w:hAnsi="Calibri"/>
          <w:sz w:val="21"/>
          <w:szCs w:val="21"/>
        </w:rPr>
        <w:t xml:space="preserve">The system was benchmarked with 50 concurrent simulated mill operators:</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c>
          <w:tcPr>
            <w:tcW w:type="pct" w:w="40%"/>
            <w:shd w:fill="F2F2F2" w:val="clear"/>
            <w:tcMar>
              <w:top w:type="dxa" w:w="120"/>
              <w:left w:type="dxa" w:w="150"/>
              <w:bottom w:type="dxa" w:w="120"/>
              <w:right w:type="dxa" w:w="150"/>
            </w:tcMar>
            <w:vAlign w:val="center"/>
          </w:tcPr>
          <w:p>
            <w:r>
              <w:rPr>
                <w:rFonts w:ascii="Calibri" w:cs="Calibri" w:eastAsia="Calibri" w:hAnsi="Calibri"/>
                <w:b/>
                <w:bCs/>
                <w:color w:val="000000"/>
                <w:sz w:val="20"/>
                <w:szCs w:val="20"/>
              </w:rPr>
              <w:t xml:space="preserve">Endpoint</w:t>
            </w:r>
          </w:p>
        </w:tc>
        <w:tc>
          <w:tcPr>
            <w:tcW w:type="pct" w:w="20%"/>
            <w:shd w:fill="F2F2F2" w:val="clear"/>
            <w:tcMar>
              <w:top w:type="dxa" w:w="120"/>
              <w:left w:type="dxa" w:w="150"/>
              <w:bottom w:type="dxa" w:w="120"/>
              <w:right w:type="dxa" w:w="150"/>
            </w:tcMar>
            <w:vAlign w:val="center"/>
          </w:tcPr>
          <w:p>
            <w:r>
              <w:rPr>
                <w:rFonts w:ascii="Calibri" w:cs="Calibri" w:eastAsia="Calibri" w:hAnsi="Calibri"/>
                <w:b/>
                <w:bCs/>
                <w:color w:val="000000"/>
                <w:sz w:val="20"/>
                <w:szCs w:val="20"/>
              </w:rPr>
              <w:t xml:space="preserve">Concurrent Users</w:t>
            </w:r>
          </w:p>
        </w:tc>
        <w:tc>
          <w:tcPr>
            <w:tcW w:type="pct" w:w="20%"/>
            <w:shd w:fill="F2F2F2" w:val="clear"/>
            <w:tcMar>
              <w:top w:type="dxa" w:w="120"/>
              <w:left w:type="dxa" w:w="150"/>
              <w:bottom w:type="dxa" w:w="120"/>
              <w:right w:type="dxa" w:w="150"/>
            </w:tcMar>
            <w:vAlign w:val="center"/>
          </w:tcPr>
          <w:p>
            <w:r>
              <w:rPr>
                <w:rFonts w:ascii="Calibri" w:cs="Calibri" w:eastAsia="Calibri" w:hAnsi="Calibri"/>
                <w:b/>
                <w:bCs/>
                <w:color w:val="000000"/>
                <w:sz w:val="20"/>
                <w:szCs w:val="20"/>
              </w:rPr>
              <w:t xml:space="preserve">Success Rate</w:t>
            </w:r>
          </w:p>
        </w:tc>
        <w:tc>
          <w:tcPr>
            <w:tcW w:type="pct" w:w="20%"/>
            <w:shd w:fill="F2F2F2" w:val="clear"/>
            <w:tcMar>
              <w:top w:type="dxa" w:w="120"/>
              <w:left w:type="dxa" w:w="150"/>
              <w:bottom w:type="dxa" w:w="120"/>
              <w:right w:type="dxa" w:w="150"/>
            </w:tcMar>
            <w:vAlign w:val="center"/>
          </w:tcPr>
          <w:p>
            <w:r>
              <w:rPr>
                <w:rFonts w:ascii="Calibri" w:cs="Calibri" w:eastAsia="Calibri" w:hAnsi="Calibri"/>
                <w:b/>
                <w:bCs/>
                <w:color w:val="000000"/>
                <w:sz w:val="20"/>
                <w:szCs w:val="20"/>
              </w:rPr>
              <w:t xml:space="preserve">Avg Latency</w:t>
            </w:r>
          </w:p>
        </w:tc>
      </w:tr>
      <w:tr>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/api/v1/parties</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50</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100% (50/50)</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85.2 ms</w:t>
            </w:r>
          </w:p>
        </w:tc>
      </w:tr>
      <w:tr>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/api/v1/job-orders</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50</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100% (50/50)</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92.4 ms</w:t>
            </w:r>
          </w:p>
        </w:tc>
      </w:tr>
      <w:tr>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/api/production/batches</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50</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100% (50/50)</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78.1 ms</w:t>
            </w:r>
          </w:p>
        </w:tc>
      </w:tr>
      <w:tr>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/api/v1/quality/queue</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50</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100% (50/50)</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64.8 ms</w:t>
            </w:r>
          </w:p>
        </w:tc>
      </w:tr>
      <w:tr>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/api/v1/finance/lot-cost/1</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50</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100% (50/50)</w:t>
            </w:r>
          </w:p>
        </w:tc>
        <w:tc>
          <w:tcPr>
            <w:tcW w:type="pct" w:w="50%"/>
            <w:tcMar>
              <w:top w:type="dxa" w:w="120"/>
              <w:left w:type="dxa" w:w="150"/>
              <w:bottom w:type="dxa" w:w="120"/>
              <w:right w:type="dxa" w:w="150"/>
            </w:tcMar>
            <w:vAlign w:val="center"/>
          </w:tcPr>
          <w:p>
            <w:r>
              <w:rPr>
                <w:rFonts w:ascii="Calibri" w:cs="Calibri" w:eastAsia="Calibri" w:hAnsi="Calibri"/>
                <w:b w:val="false"/>
                <w:bCs w:val="false"/>
                <w:color w:val="000000"/>
                <w:sz w:val="20"/>
                <w:szCs w:val="20"/>
              </w:rPr>
              <w:t xml:space="preserve">112.6 ms</w:t>
            </w:r>
          </w:p>
        </w:tc>
      </w:tr>
    </w:tbl>
    <w:p>
      <w:pPr>
        <w:pageBreakBefore/>
      </w:pPr>
    </w:p>
    <w:p>
      <w:pPr>
        <w:pStyle w:val="Heading1"/>
        <w:spacing w:after="140" w:before="300"/>
      </w:pPr>
      <w:r>
        <w:rPr>
          <w:rFonts w:ascii="Calibri" w:cs="Calibri" w:eastAsia="Calibri" w:hAnsi="Calibri"/>
          <w:b/>
          <w:bCs/>
          <w:color w:val="1F4E78"/>
          <w:sz w:val="28"/>
          <w:szCs w:val="28"/>
        </w:rPr>
        <w:t xml:space="preserve">CHAPTER 5: CONCLUSION &amp; FUTURE SCOPE</w:t>
      </w:r>
    </w:p>
    <w:p>
      <w:pPr>
        <w:pStyle w:val="Heading2"/>
        <w:spacing w:after="100" w:before="200"/>
      </w:pPr>
      <w:r>
        <w:rPr>
          <w:rFonts w:ascii="Calibri" w:cs="Calibri" w:eastAsia="Calibri" w:hAnsi="Calibri"/>
          <w:b/>
          <w:bCs/>
          <w:color w:val="2E75B6"/>
          <w:sz w:val="24"/>
          <w:szCs w:val="24"/>
        </w:rPr>
        <w:t xml:space="preserve">5.1 Conclusion</w:t>
      </w:r>
    </w:p>
    <w:p>
      <w:pPr>
        <w:spacing w:after="80" w:before="60" w:line="276"/>
      </w:pPr>
      <w:r>
        <w:t xml:space="preserve"/>
      </w:r>
      <w:r>
        <w:rPr>
          <w:rFonts w:ascii="Calibri" w:cs="Calibri" w:eastAsia="Calibri" w:hAnsi="Calibri"/>
          <w:sz w:val="21"/>
          <w:szCs w:val="21"/>
        </w:rPr>
        <w:t xml:space="preserve">The developed Cloud-Native Textile ERP successfully digitizes the complex multi-stage operations of commission dyeing and processing houses. By integrating roll-level Taka tracking, dual UOM derivations, batch utility costing, ASTM 4-point QC auditing, and GST Section 143 challans into a unified reactive platform, the application eliminates manual reconciliation errors, boosts shop floor productivity, and delivers true per-lot profitability visibility.</w:t>
      </w:r>
    </w:p>
    <w:p>
      <w:pPr>
        <w:pStyle w:val="Heading2"/>
        <w:spacing w:after="100" w:before="200"/>
      </w:pPr>
      <w:r>
        <w:rPr>
          <w:rFonts w:ascii="Calibri" w:cs="Calibri" w:eastAsia="Calibri" w:hAnsi="Calibri"/>
          <w:b/>
          <w:bCs/>
          <w:color w:val="2E75B6"/>
          <w:sz w:val="24"/>
          <w:szCs w:val="24"/>
        </w:rPr>
        <w:t xml:space="preserve">5.2 Future Roadmap</w:t>
      </w:r>
    </w:p>
    <w:p>
      <w:pPr>
        <w:pStyle w:val="ListParagraph"/>
        <w:numPr>
          <w:ilvl w:val="0"/>
          <w:numId w:val="1"/>
        </w:numPr>
        <w:spacing w:after="40" w:before="40" w:line="260"/>
      </w:pPr>
      <w:r>
        <w:rPr>
          <w:rFonts w:ascii="Calibri" w:cs="Calibri" w:eastAsia="Calibri" w:hAnsi="Calibri"/>
          <w:b/>
          <w:bCs/>
          <w:sz w:val="21"/>
          <w:szCs w:val="21"/>
        </w:rPr>
        <w:t xml:space="preserve">1. IoT PLC MQTT Telemetry: </w:t>
      </w:r>
      <w:r>
        <w:rPr>
          <w:rFonts w:ascii="Calibri" w:cs="Calibri" w:eastAsia="Calibri" w:hAnsi="Calibri"/>
          <w:sz w:val="21"/>
          <w:szCs w:val="21"/>
        </w:rPr>
        <w:t xml:space="preserve">Directly interfacing jet dyeing and stenter machine PLC controllers via MQTT to log real-time temperature, pressure, and RPM telemetry without operator entry.</w:t>
      </w:r>
    </w:p>
    <w:p>
      <w:pPr>
        <w:pStyle w:val="ListParagraph"/>
        <w:numPr>
          <w:ilvl w:val="0"/>
          <w:numId w:val="1"/>
        </w:numPr>
        <w:spacing w:after="40" w:before="40" w:line="260"/>
      </w:pPr>
      <w:r>
        <w:rPr>
          <w:rFonts w:ascii="Calibri" w:cs="Calibri" w:eastAsia="Calibri" w:hAnsi="Calibri"/>
          <w:b/>
          <w:bCs/>
          <w:sz w:val="21"/>
          <w:szCs w:val="21"/>
        </w:rPr>
        <w:t xml:space="preserve">2. AI Color Formulation Matching: </w:t>
      </w:r>
      <w:r>
        <w:rPr>
          <w:rFonts w:ascii="Calibri" w:cs="Calibri" w:eastAsia="Calibri" w:hAnsi="Calibri"/>
          <w:sz w:val="21"/>
          <w:szCs w:val="21"/>
        </w:rPr>
        <w:t xml:space="preserve">Utilizing machine learning models to recommend recipe dye concentrations from spectrophotometer reflectance curves.</w:t>
      </w:r>
    </w:p>
    <w:p>
      <w:pPr>
        <w:pStyle w:val="ListParagraph"/>
        <w:numPr>
          <w:ilvl w:val="0"/>
          <w:numId w:val="1"/>
        </w:numPr>
        <w:spacing w:after="40" w:before="40" w:line="260"/>
      </w:pPr>
      <w:r>
        <w:rPr>
          <w:rFonts w:ascii="Calibri" w:cs="Calibri" w:eastAsia="Calibri" w:hAnsi="Calibri"/>
          <w:b/>
          <w:bCs/>
          <w:sz w:val="21"/>
          <w:szCs w:val="21"/>
        </w:rPr>
        <w:t xml:space="preserve">3. Automated E-Way Bill Integration: </w:t>
      </w:r>
      <w:r>
        <w:rPr>
          <w:rFonts w:ascii="Calibri" w:cs="Calibri" w:eastAsia="Calibri" w:hAnsi="Calibri"/>
          <w:sz w:val="21"/>
          <w:szCs w:val="21"/>
        </w:rPr>
        <w:t xml:space="preserve">Direct API integration with the National Informatics Centre (NIC) E-Way bill portal.</w:t>
      </w:r>
    </w:p>
    <w:p>
      <w:pPr>
        <w:pageBreakBefore/>
      </w:pPr>
    </w:p>
    <w:p>
      <w:pPr>
        <w:pStyle w:val="Heading1"/>
        <w:spacing w:after="140" w:before="300"/>
      </w:pPr>
      <w:r>
        <w:rPr>
          <w:rFonts w:ascii="Calibri" w:cs="Calibri" w:eastAsia="Calibri" w:hAnsi="Calibri"/>
          <w:b/>
          <w:bCs/>
          <w:color w:val="1F4E78"/>
          <w:sz w:val="28"/>
          <w:szCs w:val="28"/>
        </w:rPr>
        <w:t xml:space="preserve">REFERENCES (APA 7th Edition)</w:t>
      </w:r>
    </w:p>
    <w:p>
      <w:pPr>
        <w:spacing w:after="80" w:before="60" w:line="276"/>
      </w:pPr>
      <w:r>
        <w:t xml:space="preserve"/>
      </w:r>
      <w:r>
        <w:rPr>
          <w:rFonts w:ascii="Calibri" w:cs="Calibri" w:eastAsia="Calibri" w:hAnsi="Calibri"/>
          <w:sz w:val="21"/>
          <w:szCs w:val="21"/>
        </w:rPr>
        <w:t xml:space="preserve">[1] Meta Open Source. (2024). React Documentation and Architectural Design. https://react.dev/</w:t>
      </w:r>
    </w:p>
    <w:p>
      <w:pPr>
        <w:spacing w:after="80" w:before="60" w:line="276"/>
      </w:pPr>
      <w:r>
        <w:t xml:space="preserve"/>
      </w:r>
      <w:r>
        <w:rPr>
          <w:rFonts w:ascii="Calibri" w:cs="Calibri" w:eastAsia="Calibri" w:hAnsi="Calibri"/>
          <w:sz w:val="21"/>
          <w:szCs w:val="21"/>
        </w:rPr>
        <w:t xml:space="preserve">[2] PostgreSQL Global Development Group. (2024). PostgreSQL 16 Documentation: Connection Pooling and JSONB. https://www.postgresql.org/docs/</w:t>
      </w:r>
    </w:p>
    <w:p>
      <w:pPr>
        <w:spacing w:after="80" w:before="60" w:line="276"/>
      </w:pPr>
      <w:r>
        <w:t xml:space="preserve"/>
      </w:r>
      <w:r>
        <w:rPr>
          <w:rFonts w:ascii="Calibri" w:cs="Calibri" w:eastAsia="Calibri" w:hAnsi="Calibri"/>
          <w:sz w:val="21"/>
          <w:szCs w:val="21"/>
        </w:rPr>
        <w:t xml:space="preserve">[3] ASTM International. (2022). ASTM D5430: Standard Test Methods for Visually Inspecting and Grading Fabrics. ASTM International.</w:t>
      </w:r>
    </w:p>
    <w:p>
      <w:pPr>
        <w:spacing w:after="80" w:before="60" w:line="276"/>
      </w:pPr>
      <w:r>
        <w:t xml:space="preserve"/>
      </w:r>
      <w:r>
        <w:rPr>
          <w:rFonts w:ascii="Calibri" w:cs="Calibri" w:eastAsia="Calibri" w:hAnsi="Calibri"/>
          <w:sz w:val="21"/>
          <w:szCs w:val="21"/>
        </w:rPr>
        <w:t xml:space="preserve">[4] Central Board of Indirect Taxes and Customs (CBIC). (2023). GST Guidelines for Job Work under Section 143. Ministry of Finance, Government of India.</w:t>
      </w:r>
    </w:p>
    <w:p>
      <w:pPr>
        <w:spacing w:after="80" w:before="60" w:line="276"/>
      </w:pPr>
      <w:r>
        <w:t xml:space="preserve"/>
      </w:r>
      <w:r>
        <w:rPr>
          <w:rFonts w:ascii="Calibri" w:cs="Calibri" w:eastAsia="Calibri" w:hAnsi="Calibri"/>
          <w:sz w:val="21"/>
          <w:szCs w:val="21"/>
        </w:rPr>
        <w:t xml:space="preserve">[5] Trotman, E. R. (2020). Dyeing and Chemical Technology of Textile Fibres. Charles Griffin &amp; Co Ltd.</w:t>
      </w:r>
    </w:p>
    <w:p>
      <w:pPr>
        <w:spacing w:after="80" w:before="60" w:line="276"/>
      </w:pPr>
      <w:r>
        <w:t xml:space="preserve"/>
      </w:r>
      <w:r>
        <w:rPr>
          <w:rFonts w:ascii="Calibri" w:cs="Calibri" w:eastAsia="Calibri" w:hAnsi="Calibri"/>
          <w:sz w:val="21"/>
          <w:szCs w:val="21"/>
        </w:rPr>
        <w:t xml:space="preserve">[6] Shore, J. (2018). Colorants and Auxiliaries: Organic Chemistry and Application Properties. Society of Dyers and Colourists.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pPr>
        <w:spacing w:after="60" w:before="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2026-09-08T04:56:15.640Z</dcterms:created>
  <dcterms:modified xsi:type="dcterms:W3CDTF">2026-09-08T04:56:15.641Z</dcterms:modified>
</cp:coreProperties>
</file>

<file path=docProps/custom.xml><?xml version="1.0" encoding="utf-8"?>
<Properties xmlns="http://schemas.openxmlformats.org/officeDocument/2006/custom-properties" xmlns:vt="http://schemas.openxmlformats.org/officeDocument/2006/docPropsVTypes"/>
</file>