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7E4" w:rsidRDefault="00F268DF">
      <w:pPr>
        <w:shd w:val="clear" w:color="auto" w:fill="1F3864"/>
        <w:spacing w:before="480"/>
      </w:pPr>
      <w:r>
        <w:rPr>
          <w:b/>
          <w:bCs/>
          <w:color w:val="FFFFFF"/>
          <w:sz w:val="52"/>
          <w:szCs w:val="52"/>
        </w:rPr>
        <w:t xml:space="preserve">  Long-Term Investment</w:t>
      </w:r>
    </w:p>
    <w:p w:rsidR="00FA67E4" w:rsidRDefault="00F268DF">
      <w:pPr>
        <w:shd w:val="clear" w:color="auto" w:fill="1F3864"/>
      </w:pPr>
      <w:r>
        <w:rPr>
          <w:color w:val="D6E4F0"/>
          <w:sz w:val="28"/>
          <w:szCs w:val="28"/>
        </w:rPr>
        <w:t xml:space="preserve">  6-Pillar Scoring System — Rules &amp; Calculations</w:t>
      </w:r>
    </w:p>
    <w:p w:rsidR="00FA67E4" w:rsidRDefault="00F268DF">
      <w:pPr>
        <w:shd w:val="clear" w:color="auto" w:fill="1F3864"/>
        <w:spacing w:after="240"/>
      </w:pPr>
      <w:r>
        <w:rPr>
          <w:i/>
          <w:iCs/>
          <w:color w:val="F5F5F5"/>
        </w:rPr>
        <w:t xml:space="preserve">  </w:t>
      </w:r>
      <w:r w:rsidR="003367D9">
        <w:rPr>
          <w:i/>
          <w:iCs/>
          <w:color w:val="F5F5F5"/>
        </w:rPr>
        <w:t>USER</w:t>
      </w:r>
      <w:r>
        <w:rPr>
          <w:i/>
          <w:iCs/>
          <w:color w:val="F5F5F5"/>
        </w:rPr>
        <w:t xml:space="preserve"> · NSE 500 · 5–6 Year Horizon · v1.0 · May 2026  </w:t>
      </w:r>
    </w:p>
    <w:p w:rsidR="00FA67E4" w:rsidRDefault="00FA67E4">
      <w:pPr>
        <w:spacing w:before="240"/>
      </w:pPr>
    </w:p>
    <w:p w:rsidR="00FA67E4" w:rsidRDefault="00F268DF">
      <w:pPr>
        <w:spacing w:before="280" w:after="100"/>
      </w:pPr>
      <w:r>
        <w:rPr>
          <w:b/>
          <w:bCs/>
          <w:color w:val="2E75B6"/>
          <w:sz w:val="28"/>
          <w:szCs w:val="28"/>
        </w:rPr>
        <w:t>Investment Philosophy</w:t>
      </w:r>
    </w:p>
    <w:p w:rsidR="00FA67E4" w:rsidRDefault="00F268DF">
      <w:pPr>
        <w:spacing w:before="60" w:after="60"/>
      </w:pPr>
      <w:r>
        <w:t>For a 5–6 year holding period, short-term price noise is irrelevant. A stock bought 10% cheaper or more expensive rarely changes the long-term outcome. What matters is whether the underlying business compounds earnings at 15–20%+ annually. The scoring syst</w:t>
      </w:r>
      <w:r>
        <w:t>em therefore weights business quality and growth runway at 70% of total score, with technical entry at only 5%.</w:t>
      </w:r>
    </w:p>
    <w:p w:rsidR="00FA67E4" w:rsidRDefault="00FA67E4">
      <w:pPr>
        <w:spacing w:before="60"/>
      </w:pPr>
    </w:p>
    <w:p w:rsidR="00FA67E4" w:rsidRDefault="00F268DF">
      <w:pPr>
        <w:spacing w:before="60" w:after="60"/>
      </w:pPr>
      <w:r>
        <w:rPr>
          <w:b/>
          <w:bCs/>
        </w:rPr>
        <w:t xml:space="preserve">The core question at every pillar: </w:t>
      </w:r>
      <w:r>
        <w:t xml:space="preserve">Will this business be significantly larger, more profitable, and more competitively entrenched 5 years from </w:t>
      </w:r>
      <w:r>
        <w:t>now than it is today?</w:t>
      </w:r>
    </w:p>
    <w:p w:rsidR="00FA67E4" w:rsidRDefault="00FA67E4">
      <w:pPr>
        <w:spacing w:before="120"/>
      </w:pPr>
    </w:p>
    <w:p w:rsidR="00FA67E4" w:rsidRDefault="00F268DF">
      <w:pPr>
        <w:spacing w:before="280" w:after="100"/>
      </w:pPr>
      <w:r>
        <w:rPr>
          <w:b/>
          <w:bCs/>
          <w:color w:val="2E75B6"/>
          <w:sz w:val="28"/>
          <w:szCs w:val="28"/>
        </w:rPr>
        <w:t>Scoring Framework — Overview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29"/>
        <w:gridCol w:w="1357"/>
        <w:gridCol w:w="1797"/>
        <w:gridCol w:w="1766"/>
        <w:gridCol w:w="1711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Pillar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1. Business Quality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30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Screener.in / fundamentals.csv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Quarterly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30%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7F4F00"/>
              </w:rPr>
              <w:t>2. Valuation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20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Screener.in / AO quote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Quarterly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20%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85FA5"/>
              </w:rPr>
              <w:t>3. Growth Runway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20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Research / annual report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Annually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20%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4. Competitive Moat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15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Analyst judgement + data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Annually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15%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7B1E1E"/>
              </w:rPr>
              <w:t>5. Management Quality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10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BSE filings / Trendlyne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Quarterly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10%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E5FA5"/>
              </w:rPr>
              <w:t>6. Entry Price Safety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E5FA5"/>
              </w:rPr>
              <w:t>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Live price / AO quote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At entry only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5%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:rsidR="00FA67E4" w:rsidRDefault="00FA67E4">
      <w:pPr>
        <w:spacing w:before="120"/>
      </w:pPr>
    </w:p>
    <w:p w:rsidR="00FA67E4" w:rsidRDefault="00F268DF">
      <w:pPr>
        <w:spacing w:before="280" w:after="100"/>
      </w:pPr>
      <w:r>
        <w:rPr>
          <w:b/>
          <w:bCs/>
          <w:color w:val="2E75B6"/>
          <w:sz w:val="28"/>
          <w:szCs w:val="28"/>
        </w:rPr>
        <w:t>Signal Thresholds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2200"/>
        <w:gridCol w:w="536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5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60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</w:rPr>
              <w:t>85 – 100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STRONG BUY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Allocate 6–10% of long-term capital. Core 5–6 year holding. All 6 pillars aligned.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</w:rPr>
              <w:t>70 – 84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85FA5"/>
              </w:rPr>
              <w:t>BUY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Allocate 3–5%. Good quality but one weak pillar or slightly expensive. Add on corrections.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4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</w:rPr>
              <w:t>55 – 69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7F4F00"/>
              </w:rPr>
              <w:t>WATCHLIST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 xml:space="preserve">Quality business but overvalued or moat unclear. Set </w:t>
            </w:r>
            <w:r>
              <w:lastRenderedPageBreak/>
              <w:t>price alert. Re-score next quarter.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E1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</w:rPr>
              <w:lastRenderedPageBreak/>
              <w:t>&lt; 55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7B1E1E"/>
              </w:rPr>
              <w:t>AVOID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Weak fundamentals, poor management or no durable moat. Skip — long-term wealth destruction risk.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7A3800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Key rule: A STRONG BUY score of 85+ that drops below 70 for two consecutive quarterly re-scores is an automatic review trigger. Either the thesis has changed or results have deteriorated — decide whether to hold or exit.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shd w:val="clear" w:color="auto" w:fill="1D6035"/>
        <w:spacing w:before="240" w:after="120"/>
      </w:pPr>
      <w:r>
        <w:rPr>
          <w:b/>
          <w:bCs/>
          <w:color w:val="FFFFFF"/>
          <w:sz w:val="28"/>
          <w:szCs w:val="28"/>
        </w:rPr>
        <w:lastRenderedPageBreak/>
        <w:t xml:space="preserve">  Pillar 1 — Business Quality</w:t>
      </w:r>
      <w:r>
        <w:rPr>
          <w:color w:val="FFFFFF"/>
          <w:sz w:val="24"/>
          <w:szCs w:val="24"/>
        </w:rPr>
        <w:t xml:space="preserve">   </w:t>
      </w:r>
      <w:r>
        <w:rPr>
          <w:color w:val="FFFFFF"/>
          <w:sz w:val="24"/>
          <w:szCs w:val="24"/>
        </w:rPr>
        <w:t xml:space="preserve"> (30 points points)</w:t>
      </w:r>
    </w:p>
    <w:p w:rsidR="00FA67E4" w:rsidRDefault="00F268DF">
      <w:pPr>
        <w:spacing w:before="60" w:after="60"/>
      </w:pPr>
      <w:r>
        <w:t>The single most important pillar. A great business at a fair price beats a fair business at a great price over 5+ years. This pillar measures whether the company has consistently grown revenue and profits, generates high returns on capi</w:t>
      </w:r>
      <w:r>
        <w:t>tal, and manages debt responsibly.</w:t>
      </w:r>
    </w:p>
    <w:p w:rsidR="00FA67E4" w:rsidRDefault="00FA67E4">
      <w:pPr>
        <w:spacing w:before="10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1A — Revenue Growth (3-Year CAGR)  (+8 points)</w:t>
      </w:r>
    </w:p>
    <w:p w:rsidR="00FA67E4" w:rsidRDefault="00F268DF">
      <w:pPr>
        <w:spacing w:before="60" w:after="60"/>
      </w:pPr>
      <w:r>
        <w:t>Measures the rate at which the company is growing its top-line over 3 years. 3-year CAGR smooths out single-year anomalies (COVID, one-time items). For a 5-year investment, you need the business growing at least at GDP+5% minimum (12–15%).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 xml:space="preserve">Revenue Growth </w:t>
            </w:r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&gt;=25%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Exceptional top-line momentum — well above market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20–25%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Strong and above-average growth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15–20%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Good growth — above India GDP + inflation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10–15%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Adequate — tracking India nominal GDP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5–10%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Below expectation — barely beating inflation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0–5%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Stagnant top-line — losing real value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+1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Negative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Shrinking business — structural concern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Revenue CAGR = ((Revenue_year3 / Revenue_year0) ^ (1/3) - 1) * 100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Source: Screener.in → Financials → Annual → Sales (last 3 years)</w:t>
      </w:r>
    </w:p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1B — PAT Growth (3-Year CAGR)  (+7 points)</w:t>
      </w:r>
    </w:p>
    <w:p w:rsidR="00FA67E4" w:rsidRDefault="00F268DF">
      <w:pPr>
        <w:spacing w:before="60" w:after="60"/>
      </w:pPr>
      <w:r>
        <w:t>Profit After Tax growth confirms that revenue growth is translating to actual earnings. Revenue growing without profit improvement indicates margin pressure or poor capital efficiency. PAT CAGR should be &gt;= Revenue CAGR for quality businesses (operating le</w:t>
      </w:r>
      <w:r>
        <w:t>verage).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PAT Growth CAGR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&gt;=30%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Excellent — earnings growing faster than revenue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20–30%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Strong earnings expansion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15–20%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Good earnings growth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10–15%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Adequate earnings growth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0–10%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Weak or stagnant earnings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+1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Negative CAGR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Profits declining — serious red flag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PAT CAGR = ((PAT_year3 / PAT_year0) ^ (1/3) - 1) * 100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Watch: if PAT CAGR &lt; Revenue CAGR by &gt; 5%, margins are compressing</w:t>
      </w:r>
    </w:p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1C — Return on Equity (ROE)  (+7 points)</w:t>
      </w:r>
    </w:p>
    <w:p w:rsidR="00FA67E4" w:rsidRDefault="00F268DF">
      <w:pPr>
        <w:spacing w:before="60" w:after="60"/>
      </w:pPr>
      <w:r>
        <w:t>ROE measures how efficiently the company generates profit from shareholders' equity. It is the most important profitability ratio for long-term investors. Companies with consistently high ROE (&gt;20%) compo</w:t>
      </w:r>
      <w:r>
        <w:t>und wealth for shareholders without needing to raise external capital.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ROE (3-year average)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Quality Signal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&gt;= 25%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Exceptional capital efficiency — world-class business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20–25%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Excellent returns — strong compounding engine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15–20%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Good returns — above cost of equity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10–15%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Adequate — acceptable for capital-heavy sectors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5–10%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Weak — barely covering cost of equity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+1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&lt; 5% or negative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Destroying shareholder value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ROE = (Net Profit / Shareholders' Equity) * 100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Use 3-year average ROE to smooth out cyclical peaks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Source: Screener.in → Ratios → Return on Equity</w:t>
      </w:r>
    </w:p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1D — Return on Capital Employed (ROCE)  (+5 points)</w:t>
      </w:r>
    </w:p>
    <w:p w:rsidR="00FA67E4" w:rsidRDefault="00F268DF">
      <w:pPr>
        <w:spacing w:before="60" w:after="60"/>
      </w:pPr>
      <w:r>
        <w:t>ROCE is superior to ROE for capital-intensive businesses (infra, manufacturing) as it includes debt capital. It shows how efficiently the total capital pool is deployed. ROCE should consistently exceed the company's cost of capital (typically 12–14% for In</w:t>
      </w:r>
      <w:r>
        <w:t>dia).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ROCE (3-year average)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Quality Signal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&gt;= 25%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Exceptional capital allocation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20–25%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Excellent — well above cost of capital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15–20%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Good — comfortably above hurdle rate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10–15%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Adequate for capital-heavy sectors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&lt; 10%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Poor — capital being misallocated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ROCE = (EBIT / Capital Employed) * 100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Capital Employed = Total Assets - Current Liabilities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Source: Screener.in → Ratios → Return on Capital Employed</w:t>
      </w:r>
    </w:p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1E — Debt / Equity Ratio  (+3 points)</w:t>
      </w:r>
    </w:p>
    <w:p w:rsidR="00FA67E4" w:rsidRDefault="00F268DF">
      <w:pPr>
        <w:spacing w:before="60" w:after="60"/>
      </w:pPr>
      <w:r>
        <w:t>Excess debt is the primary cause of permanent capital loss in long-term investing. High debt amplifies losses during downturns and can destroy even excellent businesses. Exception: Financial Services (banks, NBFCs) where leverage is the business model.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De</w:t>
            </w:r>
            <w:r>
              <w:rPr>
                <w:b/>
                <w:bCs/>
                <w:color w:val="FFFFFF"/>
                <w:sz w:val="18"/>
                <w:szCs w:val="18"/>
              </w:rPr>
              <w:t>bt / Equity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Safety Assessment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&lt;= 0.3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Debt-free or minimal — maximum financial flexibility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0.3 – 0.8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Conservative leverage — comfortable for most sectors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0.8 – 1.5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Moderate — acceptable if ROE is high and cash flows strong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+1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&gt; 1.5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High — significant risk in downturns, watch interest coverage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7A3800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For Financial Services (banks, NBFCs, insurance): D/E is not applicable. Substitute with NPA ratio (&lt; 2% Gross NPA = 3 pts) and Capital Adequacy Ratio (CAR &gt; 15% = 3 pts).</w:t>
      </w:r>
    </w:p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Business Quality total = Revenue pts + PAT pts + ROE pts + ROCE pts + D/E pts. Maximum 30.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shd w:val="clear" w:color="auto" w:fill="7F4F00"/>
        <w:spacing w:before="240" w:after="120"/>
      </w:pPr>
      <w:r>
        <w:rPr>
          <w:b/>
          <w:bCs/>
          <w:color w:val="FFFFFF"/>
          <w:sz w:val="28"/>
          <w:szCs w:val="28"/>
        </w:rPr>
        <w:lastRenderedPageBreak/>
        <w:t xml:space="preserve">  Pillar 2 — Valuation</w:t>
      </w:r>
      <w:r>
        <w:rPr>
          <w:color w:val="FFFFFF"/>
          <w:sz w:val="24"/>
          <w:szCs w:val="24"/>
        </w:rPr>
        <w:t xml:space="preserve">    (20 points points)</w:t>
      </w:r>
    </w:p>
    <w:p w:rsidR="00FA67E4" w:rsidRDefault="00F268DF">
      <w:pPr>
        <w:spacing w:before="60" w:after="60"/>
      </w:pPr>
      <w:r>
        <w:t>Even exceptional businesses can deliver poor returns if bought at outrageous valuations. The PEG ratio (PE ÷ earnings growth %) is the primary valuation gate for long-term investors — it answers the question: am I paying a fair price for this growth rate?</w:t>
      </w:r>
    </w:p>
    <w:p w:rsidR="00FA67E4" w:rsidRDefault="00FA67E4">
      <w:pPr>
        <w:spacing w:before="10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2A — PEG Ratio  (+8 points)</w:t>
      </w:r>
    </w:p>
    <w:p w:rsidR="00FA67E4" w:rsidRDefault="00F268DF">
      <w:pPr>
        <w:spacing w:before="60" w:after="60"/>
      </w:pPr>
      <w:r>
        <w:t>PEG = PE Ratio ÷ Earnings Growth Rate (%). A PEG of 1 means you are paying exactly 1x for each percentage point of growth. Below 1 = undervalued relative to growth. Above 2 = expensive relative to growth. Warren Buff</w:t>
      </w:r>
      <w:r>
        <w:t>ett's preferred metric for growth businesses.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43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PEG Ratio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Valuation Assessment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&lt; 0.75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Significantly undervalued — rare opportunity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0.75 – 1.0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Attractively priced — good entry zone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1.0 – 1.5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Fairly valued — reasonable for quality business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1.5 – 2.0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Slightly expensive — acceptable if moat is exceptional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2.0 – 3.0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Expensive — requires very high growth confidence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+1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&gt; 3.0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Very expensive — high risk of poor 5-year returns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PEG = PE Ratio / Earnings Growth Rate (%)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Use forward PE (next 12 months) and 3-year avg PAT CAGR as growth rate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Example: PE=30, PAT CAGR=25% → PEG = 30/25 = 1.2 → Fairly valued (+5 pts)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Source: PE from AO quote / Screener.in; Growth from fundamentals.csv</w:t>
      </w:r>
    </w:p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 xml:space="preserve">Sub-factor 2B — PE vs Sector Median  (+6 </w:t>
      </w:r>
      <w:r>
        <w:rPr>
          <w:b/>
          <w:bCs/>
          <w:color w:val="185FA5"/>
          <w:sz w:val="24"/>
          <w:szCs w:val="24"/>
        </w:rPr>
        <w:t>points)</w:t>
      </w:r>
    </w:p>
    <w:p w:rsidR="00FA67E4" w:rsidRDefault="00F268DF">
      <w:pPr>
        <w:spacing w:before="60" w:after="60"/>
      </w:pPr>
      <w:r>
        <w:t>Compares the stock's PE to its sector's historical median PE. A stock trading below sector median PE may be a value opportunity; trading far above sector median signals premium pricing that requires premium growth.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Stock PE vs Sector Median PE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Stock PE &lt;= 70% of sector PE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Trading at significant sector discount — value zone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70–90% of sector PE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Slight discount — good entry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90–110% of sector PE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In-line with sector — fairly valued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110–140% of sector PE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Premium to sector — justified only if superior ROE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&gt; 140% of sector PE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Significant premium — priced for perfection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PE ratio = Market Price / Earnings Per Share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Sector PE benchmarks (FY2025): Banking 18x, IT 28x, FMCG 48x, Auto 22x,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Defence 45x, Pharma 32x, Chemicals 30x, Infra/Capex 40x, Retail 70x</w:t>
      </w:r>
    </w:p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2C — Price to Book Ratio  (+6 points)</w:t>
      </w:r>
    </w:p>
    <w:p w:rsidR="00FA67E4" w:rsidRDefault="00F268DF">
      <w:pPr>
        <w:spacing w:before="60" w:after="60"/>
      </w:pPr>
      <w:r>
        <w:t>Price/Book measures what the market charges for each rupee of net assets. Low PB with high ROE is the ideal combination — it means the m</w:t>
      </w:r>
      <w:r>
        <w:t>arket is pricing the business at or near its asset value despite it earning exceptional returns on those assets.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Price / Book (PB)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&lt;= 1.5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Near book value — excellent if ROE is high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1.5 – 3.0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Fair value zone for most businesses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3.0 – 5.0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Premium — acceptable for asset-light high-ROE businesses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5.0 – 8.0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Expensive — only justified for moat businesses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&gt; 8.0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Very expensive — high expectations priced 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Combined rule: If ROE &gt; 25% AND PB &lt;</w:t>
      </w:r>
      <w:r>
        <w:rPr>
          <w:i/>
          <w:iCs/>
          <w:color w:val="5F5E5A"/>
          <w:sz w:val="19"/>
          <w:szCs w:val="19"/>
        </w:rPr>
        <w:t xml:space="preserve"> 5, award bonus +1 point as this combination is rare and signals a deeply undervalued quality compounder.</w:t>
      </w:r>
    </w:p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Valuation total = PEG pts + PE vs Sector pts + PB pts. Maximum 20.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shd w:val="clear" w:color="auto" w:fill="185FA5"/>
        <w:spacing w:before="240" w:after="120"/>
      </w:pPr>
      <w:r>
        <w:rPr>
          <w:b/>
          <w:bCs/>
          <w:color w:val="FFFFFF"/>
          <w:sz w:val="28"/>
          <w:szCs w:val="28"/>
        </w:rPr>
        <w:lastRenderedPageBreak/>
        <w:t xml:space="preserve">  Pillar 3 — Growth Runway</w:t>
      </w:r>
      <w:r>
        <w:rPr>
          <w:color w:val="FFFFFF"/>
          <w:sz w:val="24"/>
          <w:szCs w:val="24"/>
        </w:rPr>
        <w:t xml:space="preserve">    (20 points points)</w:t>
      </w:r>
    </w:p>
    <w:p w:rsidR="00FA67E4" w:rsidRDefault="00F268DF">
      <w:pPr>
        <w:spacing w:before="60" w:after="60"/>
      </w:pPr>
      <w:r>
        <w:t>The most forward-looking pillar. Past growth is nice; future growth potential is what drives 5-year stock returns. A business that has already captured most of its addressable market will compound slowly. A business at 15% penetration in a large market can</w:t>
      </w:r>
      <w:r>
        <w:t xml:space="preserve"> compound for decades.</w:t>
      </w:r>
    </w:p>
    <w:p w:rsidR="00FA67E4" w:rsidRDefault="00FA67E4">
      <w:pPr>
        <w:spacing w:before="10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3A — Sector TAM and Penetration Level  (+8 points)</w:t>
      </w:r>
    </w:p>
    <w:p w:rsidR="00FA67E4" w:rsidRDefault="00F268DF">
      <w:pPr>
        <w:spacing w:before="60" w:after="60"/>
      </w:pPr>
      <w:r>
        <w:t>Total Addressable Market (TAM) and current penetration level together determine how long the runway is. A company at 5% penetration in a Rs.5 lakh crore market has decades of growth ahead vs one at 60% of a mature market.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400"/>
        <w:gridCol w:w="3800"/>
        <w:gridCol w:w="116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Runway Assessment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Examples (India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2026)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85FA5"/>
              </w:rPr>
              <w:t>Large TAM (&gt;Rs.2L Cr), low penetration (&lt;15%)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Defence electronics, hospital chains, wealth management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Large TAM, medium penetration (15–35%)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Private banking, diagnostics, EMS/PLI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Medium TAM (Rs.50K–2L Cr), low penetration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Specialty chemicals, EV components, QSR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Medium TAM, medium penetration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Auto ancillary, IT services, FMCG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Mature market (&gt;50% penetration)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Tobacco, traditional retail, PSU banking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Declining or commoditised market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Print media, legacy telecoms, coal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3B — India Macro Tailwind  (+7 points)</w:t>
      </w:r>
    </w:p>
    <w:p w:rsidR="00FA67E4" w:rsidRDefault="00F268DF">
      <w:pPr>
        <w:spacing w:before="60" w:after="60"/>
      </w:pPr>
      <w:r>
        <w:t>India-specific structural trends that will drive the sector regardless of global conditions. These are decade-long tailwinds that make even average execution successful.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400"/>
        <w:gridCol w:w="3800"/>
        <w:gridCol w:w="116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Tailwind Type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85FA5"/>
              </w:rPr>
              <w:t>Two or more decade-long structural tailwinds aligned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</w:t>
            </w:r>
            <w:r>
              <w:t>efence (geopolitics + Make in India + export), Hospitals (ageing + chronic disease + insurance)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One strong decade-long structural tailwind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EV supply chain (global shift), Financial inclusion (UPI + Jan Dhan)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Moderate tailwind (5–7 year cycle)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Real estate (housing shortage), Discretionary spending (rising incomes)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Sector tracks GDP — no special tailwind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General manufacturing, traditional FMCG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Headwind — regulatory, technological, or cyclical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Coal (energy transition), PSU banks (competition)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3C — Export / Global Opportunity  (+5 points)</w:t>
      </w:r>
    </w:p>
    <w:p w:rsidR="00FA67E4" w:rsidRDefault="00F268DF">
      <w:pPr>
        <w:spacing w:before="60" w:after="60"/>
      </w:pPr>
      <w:r>
        <w:t>Companies that can grow globally have a far larger ceiling than domestic-only businesses. India'</w:t>
      </w:r>
      <w:r>
        <w:t>s competitive advantages in generics, IT services, chemicals, and defence electronics open multi-decade global markets.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400"/>
        <w:gridCol w:w="3800"/>
        <w:gridCol w:w="116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Global Opportunity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1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85FA5"/>
              </w:rPr>
              <w:t>Active exporter, growing global share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Divi's Labs (CDMO), Solar Indus (defence exports), Bajaj Auto</w:t>
            </w:r>
            <w:r>
              <w:t xml:space="preserve"> (Africa/Latin America)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Export plans underway, some global revenue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BDL, HAL (defence exports), KPIT (global auto software)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Domestic only but large India opportunity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IRCTC, BSE, Titan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No global opportunity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Local retail, regional businesses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Growth Runway total = TAM/Penetration pts + India Macro pts + Export pts. Maximum 20.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shd w:val="clear" w:color="auto" w:fill="4B2F8F"/>
        <w:spacing w:before="240" w:after="120"/>
      </w:pPr>
      <w:r>
        <w:rPr>
          <w:b/>
          <w:bCs/>
          <w:color w:val="FFFFFF"/>
          <w:sz w:val="28"/>
          <w:szCs w:val="28"/>
        </w:rPr>
        <w:lastRenderedPageBreak/>
        <w:t xml:space="preserve">  Pillar 4 — Competitive Moat</w:t>
      </w:r>
      <w:r>
        <w:rPr>
          <w:color w:val="FFFFFF"/>
          <w:sz w:val="24"/>
          <w:szCs w:val="24"/>
        </w:rPr>
        <w:t xml:space="preserve">    (15 points points)</w:t>
      </w:r>
    </w:p>
    <w:p w:rsidR="00FA67E4" w:rsidRDefault="00F268DF">
      <w:pPr>
        <w:spacing w:before="60" w:after="60"/>
      </w:pPr>
      <w:r>
        <w:t>Warren Buffett'</w:t>
      </w:r>
      <w:r>
        <w:t>s favourite concept: a business that competitors cannot easily replicate. Without a moat, high returns on capital attract competition, margins erode, and earnings growth slows. The moat determines whether today's 25% ROE is still 25% ROE in 5 years.</w:t>
      </w:r>
    </w:p>
    <w:p w:rsidR="00FA67E4" w:rsidRDefault="00FA67E4">
      <w:pPr>
        <w:spacing w:before="10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</w:t>
      </w:r>
      <w:r>
        <w:rPr>
          <w:b/>
          <w:bCs/>
          <w:color w:val="185FA5"/>
          <w:sz w:val="24"/>
          <w:szCs w:val="24"/>
        </w:rPr>
        <w:t>actor 4A — Moat Type &amp; Strength  (+8 points)</w:t>
      </w:r>
    </w:p>
    <w:p w:rsidR="00FA67E4" w:rsidRDefault="00F268DF">
      <w:pPr>
        <w:spacing w:before="60" w:after="60"/>
      </w:pPr>
      <w:r>
        <w:t>There are six types of economic moats. Score the strongest one that applies to the business.</w:t>
      </w:r>
    </w:p>
    <w:p w:rsidR="00FA67E4" w:rsidRDefault="00FA67E4">
      <w:pPr>
        <w:spacing w:before="6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9"/>
        <w:gridCol w:w="3058"/>
        <w:gridCol w:w="2501"/>
        <w:gridCol w:w="1592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Moat Type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How to identify</w:t>
            </w:r>
          </w:p>
        </w:tc>
        <w:tc>
          <w:tcPr>
            <w:tcW w:w="2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Indian examples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Max pts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Regulatory / Licence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Government-granted monopoly or duopoly that competitors cannot enter by spending money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IRCTC, BSE, HAL, Coal India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Brand Power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Customers pay premium for the name; brand built over decades with high recall and trust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Asian Paints, Titan, Pidilite, Nestle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Switching Costs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Painful or expensive for customer to switch suppliers; embedded in customer workflow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TCS (legacy IT), HDFC Bank, BSE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Cost Advantage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Structurally lower cost than all competitors due to scale, process or location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Coal India, Divi'</w:t>
            </w:r>
            <w:r>
              <w:t>s Labs, UltraTech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Network Effects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Product becomes more valuable as more people use it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BSE (liquidity), Naukri, Zomato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Efficient Scale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Market serves one or few players profitably; additional entrants would be unprofitable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HAL, IRCTC, Cochin Shipyard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Weak / no moat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Easy to replicate, commodity product, price-driven competition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Commodity steel, generic IT, most trading co.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+0–2</w:t>
            </w:r>
          </w:p>
        </w:tc>
      </w:tr>
    </w:tbl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4B — Market Share Trend  (+4 points)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Market Share Trend (last 3 years)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t>Consistently gaining market share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Moat is expanding — competitors losing ground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Market share stable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Moat holding — defending position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Market share declining slowly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Moat is weakening — watch closely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+1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Market share declining significantly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Moat is broken — major red flag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4C — Pricing Power Evidence  (+3 points)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Pricing Power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4B2F8F"/>
              </w:rPr>
              <w:lastRenderedPageBreak/>
              <w:t>Can raise prices above inflation without losing volume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Gross margins stable or expanding over 5 years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Can maintain prices in line with inflation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Gross margins flat over 5 years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Prices driven by market / competitors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Gross margins declining over 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Moat total = Moat type pts + Market share pts + Pricing power pts. Maximum 15.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shd w:val="clear" w:color="auto" w:fill="7B1E1E"/>
        <w:spacing w:before="240" w:after="120"/>
      </w:pPr>
      <w:r>
        <w:rPr>
          <w:b/>
          <w:bCs/>
          <w:color w:val="FFFFFF"/>
          <w:sz w:val="28"/>
          <w:szCs w:val="28"/>
        </w:rPr>
        <w:lastRenderedPageBreak/>
        <w:t xml:space="preserve">  Pillar 5 — Management Quality</w:t>
      </w:r>
      <w:r>
        <w:rPr>
          <w:color w:val="FFFFFF"/>
          <w:sz w:val="24"/>
          <w:szCs w:val="24"/>
        </w:rPr>
        <w:t xml:space="preserve">    (10 points points)</w:t>
      </w:r>
    </w:p>
    <w:p w:rsidR="00FA67E4" w:rsidRDefault="00F268DF">
      <w:pPr>
        <w:spacing w:before="60" w:after="60"/>
      </w:pPr>
      <w:r>
        <w:t xml:space="preserve">You are partnering with the management for 5–6 years. Their capital allocation decisions — where they deploy retained earnings — will largely determine your return. Poor governance can destroy even the </w:t>
      </w:r>
      <w:r>
        <w:t>best business.</w:t>
      </w:r>
    </w:p>
    <w:p w:rsidR="00FA67E4" w:rsidRDefault="00FA67E4">
      <w:pPr>
        <w:spacing w:before="10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5A — Promoter Holding &amp; Pledge  (+4 points)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Promoter Assessment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Holding &gt;= 50%, zero pledge, increasing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Promoters have maximum skin in the game and are buying more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Holding &gt;= 40%, zero/low pledge (&lt;5%)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Good alignment with minority shareholders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Holding 25–40%, zero pledge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Moderate alignment — acceptable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Pledge &gt; 20% OR holding declining significantly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Red flag — promoters reducing exposure or in financial stress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Source: BSE shareholding pattern (quarterly filings)</w:t>
      </w:r>
    </w:p>
    <w:p w:rsidR="00FA67E4" w:rsidRDefault="00F268DF">
      <w:pPr>
        <w:shd w:val="clear" w:color="auto" w:fill="F5F5F5"/>
        <w:spacing w:before="60" w:after="60"/>
        <w:ind w:left="360" w:righ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Also check: Trendlyne → Shareholding → Promoter pledge trend</w:t>
      </w:r>
    </w:p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5B — Capital Allocation Track Record  (+3 points)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Capital Allocation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Consistent ROCE &gt; 20% + growing dividends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Management reinvests at high rates AND returns surplus cash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ROCE &gt; 15%, reasonable dividend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Good reinvestment, adequate shareholder returns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History of value-destructive acquisitions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Overpaid for acquisitions, goodwill writedowns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5C — Governance &amp; Transparency  (+3 points)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Governance Check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What to verify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Clean audit, low RPT, independent board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Unqualified audit, Related Party Transactions &lt; 5% of revenue, 50%+ independent directors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Minor concerns, but generally clean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Qualified audit on minor items, some RPT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Material governance issues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Qualified audit, high RPT, promoter loans to company, SEBI notices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Management total = Promoter holding pts + Capital allocation pts + Governance pts. Maximum 10.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shd w:val="clear" w:color="auto" w:fill="1E5FA5"/>
        <w:spacing w:before="240" w:after="120"/>
      </w:pPr>
      <w:r>
        <w:rPr>
          <w:b/>
          <w:bCs/>
          <w:color w:val="FFFFFF"/>
          <w:sz w:val="28"/>
          <w:szCs w:val="28"/>
        </w:rPr>
        <w:lastRenderedPageBreak/>
        <w:t xml:space="preserve">  Pillar 6 — Entry Price Safety</w:t>
      </w:r>
      <w:r>
        <w:rPr>
          <w:color w:val="FFFFFF"/>
          <w:sz w:val="24"/>
          <w:szCs w:val="24"/>
        </w:rPr>
        <w:t xml:space="preserve">    (5 points points)</w:t>
      </w:r>
    </w:p>
    <w:p w:rsidR="00FA67E4" w:rsidRDefault="00F268DF">
      <w:pPr>
        <w:spacing w:before="60" w:after="60"/>
      </w:pPr>
      <w:r>
        <w:t>At a 5–6 year horizon, entry price matters far less than business quality. A business compounding at 20% PAT growth can be bought at a 30% premium and still deliver excellent returns. However, this pillar avoids buying during peak market euphoria when even</w:t>
      </w:r>
      <w:r>
        <w:t xml:space="preserve"> great businesses are priced for perfection.</w:t>
      </w:r>
    </w:p>
    <w:p w:rsidR="00FA67E4" w:rsidRDefault="00FA67E4">
      <w:pPr>
        <w:spacing w:before="10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6A — % Below 52-Week High  (+3 points)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Distance from 52W High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&gt; 25% below 52-week high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Significant correction — market may be pricing in temporary bad news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10–25% below 52-week high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Moderate pullback — better entry than peak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Within 10% of 52-week high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Near highs — entry is fair but not optimal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+1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At or above 52-week high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Buying at peak — acceptable for exceptional businesses but lower safety margin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+0</w:t>
            </w:r>
          </w:p>
        </w:tc>
      </w:tr>
    </w:tbl>
    <w:p w:rsidR="00FA67E4" w:rsidRDefault="00FA67E4">
      <w:pPr>
        <w:spacing w:before="120"/>
      </w:pPr>
    </w:p>
    <w:p w:rsidR="00FA67E4" w:rsidRDefault="00F268DF">
      <w:pPr>
        <w:spacing w:before="200" w:after="80"/>
      </w:pPr>
      <w:r>
        <w:rPr>
          <w:b/>
          <w:bCs/>
          <w:color w:val="185FA5"/>
          <w:sz w:val="24"/>
          <w:szCs w:val="24"/>
        </w:rPr>
        <w:t>Sub-factor 6B — Price Above 200 DMA  (+2 points)</w:t>
      </w:r>
    </w:p>
    <w:p w:rsidR="00FA67E4" w:rsidRDefault="00F268DF">
      <w:pPr>
        <w:spacing w:before="60" w:after="60"/>
      </w:pPr>
      <w:r>
        <w:t>Optional technical check. A stock in long-term uptrend (above 200 DMA) has institutional support. For long-term investing this is a mild positive, not a gate.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3960"/>
        <w:gridCol w:w="180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200 DMA Check</w:t>
            </w:r>
          </w:p>
        </w:tc>
        <w:tc>
          <w:tcPr>
            <w:tcW w:w="39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CMP above 200 DMA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Institutional support intact, long-term trend positive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CMP below 200 DMA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Near-term weakness but may be buying opportunity for long-term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 xml:space="preserve">Entry Price total = 52W position pts + 200 DMA pts. Maximum 5. </w:t>
      </w:r>
      <w:r>
        <w:rPr>
          <w:i/>
          <w:iCs/>
          <w:color w:val="5F5E5A"/>
          <w:sz w:val="19"/>
          <w:szCs w:val="19"/>
        </w:rPr>
        <w:t>Note: Do NOT reject a 90+ scoring stock simply because it is below the 200 DMA or near its 52W high. This pillar is a 5% tiebreaker, not a gate.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pBdr>
          <w:bottom w:val="single" w:sz="6" w:space="6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lastRenderedPageBreak/>
        <w:t>Worked Example — BAJFINANCE</w:t>
      </w:r>
    </w:p>
    <w:p w:rsidR="00FA67E4" w:rsidRDefault="00F268DF">
      <w:pPr>
        <w:spacing w:before="60" w:after="60"/>
      </w:pPr>
      <w:r>
        <w:t>Score calculation using FY2025 annual results and May 2026 price data:</w:t>
      </w:r>
    </w:p>
    <w:p w:rsidR="00FA67E4" w:rsidRDefault="00FA67E4">
      <w:pPr>
        <w:spacing w:before="8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579"/>
        <w:gridCol w:w="1701"/>
        <w:gridCol w:w="2266"/>
        <w:gridCol w:w="1509"/>
        <w:gridCol w:w="1305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Pillar / Sub-factor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Condition hit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P1: Revenue growth CAGR 3Y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27%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&gt;= 25% CAGR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+8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P1: PAT growth CAGR 3Y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22%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20–30% CAGR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P1: ROE (3Y avg)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22.3%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20–25%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P1: ROCE (3Y avg)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11.4%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NBFC: adequate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P1: D/E (NBFC: D/E not applicable)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N/A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Neutral for NBFC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</w:rPr>
              <w:t>Business Quality subtotal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25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/30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P2: PEG ratio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PE 28 / growth 22% = 1.27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1.0–1.5 fairly valued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P2: PE vs sector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28 vs sector 18 = 156%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&gt; 140% sector 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+0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P2: Price/Book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5.2x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5.0–8.0 expensive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6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</w:rPr>
              <w:t>Valuation subtotal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/20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P3: TAM &amp; penetration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Large NBFC TAM, 15% pen.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Large TAM, medium penetration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P3: India macro tailwind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Formalisation + digital credit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One strong decade tailwind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7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P3: Export opportunity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India-only NBFC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Domestic only, large India opp.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</w:rPr>
              <w:t>Growth Runway subtotal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13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/20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P4: Moat (switching costs)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Deep product integration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Switching costs moat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8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P4: Market share trend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Gaining share in consumer credit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Gaining market share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+4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P4: Pricing power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Yields stable, NIM &gt; 10%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Maintaining margins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</w:rPr>
              <w:t>Moat subtotal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4B2F8F"/>
              </w:rPr>
              <w:t>13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/15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P5: Promoter + pledge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54.7% holding, 0% pledge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&gt;= 50%, zero pledge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+4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4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P5: Capital allocation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ROCE 11%, growing dividend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Good reinvestment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P5: Governance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Clean audit, low RPT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Clean governance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D6035"/>
              </w:rPr>
              <w:t>+3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</w:rPr>
              <w:lastRenderedPageBreak/>
              <w:t>Management subtotal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B1E1E"/>
              </w:rPr>
              <w:t>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/10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P6: 52W position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8% below 52W high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Within 10% of high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7F4F00"/>
              </w:rPr>
              <w:t>+1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3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P6: Above 200 DMA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CMP &gt; 200 DMA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Uptrend intact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185FA5"/>
              </w:rPr>
              <w:t>+2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t>2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A67E4"/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D6E4F0"/>
              </w:rPr>
              <w:t>BUY (70–84 range)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b/>
                <w:bCs/>
                <w:color w:val="E1F5EE"/>
              </w:rPr>
              <w:t>70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pPr>
              <w:jc w:val="center"/>
            </w:pPr>
            <w:r>
              <w:rPr>
                <w:color w:val="FFFFFF"/>
              </w:rPr>
              <w:t>/100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pBdr>
          <w:left w:val="single" w:sz="12" w:space="8" w:color="185FA5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Interpretation: BAJFINANCE scores 70/100 — BUY signal. Excellent business quality and moat, but current valuation (PEG 1.27, PB 5.2x) limits the score to the BUY rather than STRONG BUY range. Best added on any 10–15% correction that brings PEG below 1.0.</w:t>
      </w:r>
    </w:p>
    <w:p w:rsidR="00FA67E4" w:rsidRDefault="00FA67E4">
      <w:pPr>
        <w:spacing w:before="200"/>
      </w:pPr>
    </w:p>
    <w:p w:rsidR="00FA67E4" w:rsidRDefault="00F268DF">
      <w:r>
        <w:br w:type="page"/>
      </w:r>
    </w:p>
    <w:p w:rsidR="00FA67E4" w:rsidRDefault="00F268DF">
      <w:pPr>
        <w:pBdr>
          <w:bottom w:val="single" w:sz="6" w:space="6" w:color="2E75B6"/>
        </w:pBdr>
        <w:spacing w:before="360" w:after="120"/>
      </w:pPr>
      <w:r>
        <w:rPr>
          <w:b/>
          <w:bCs/>
          <w:color w:val="1F3864"/>
          <w:sz w:val="36"/>
          <w:szCs w:val="36"/>
        </w:rPr>
        <w:lastRenderedPageBreak/>
        <w:t>Long-Term Portfolio Construction</w:t>
      </w:r>
    </w:p>
    <w:p w:rsidR="00FA67E4" w:rsidRDefault="00FA67E4">
      <w:pPr>
        <w:spacing w:before="60"/>
      </w:pPr>
    </w:p>
    <w:p w:rsidR="00FA67E4" w:rsidRDefault="00F268DF">
      <w:pPr>
        <w:spacing w:before="280" w:after="100"/>
      </w:pPr>
      <w:r>
        <w:rPr>
          <w:b/>
          <w:bCs/>
          <w:color w:val="2E75B6"/>
          <w:sz w:val="28"/>
          <w:szCs w:val="28"/>
        </w:rPr>
        <w:t>Position Sizing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:rsidR="00FA67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Signal</w:t>
            </w:r>
          </w:p>
        </w:tc>
        <w:tc>
          <w:tcPr>
            <w:tcW w:w="6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FFFFFF"/>
                <w:sz w:val="18"/>
                <w:szCs w:val="18"/>
              </w:rPr>
              <w:t>Allocation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D6035"/>
              </w:rPr>
              <w:t>STRONG BUY (85+)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6–10% of total long-term portfolio. These are your core 5–6 year compounders. Maximum 5 such positions.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rPr>
                <w:b/>
                <w:bCs/>
                <w:color w:val="185FA5"/>
              </w:rPr>
              <w:t>BUY (70–84)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3–5% of portfolio. Quality businesses at fair prices. Add to these on corrections that improve valuation score.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WATCHLIST (55–69)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Zero allocation. Set price alert. These become BUY when valuation improves or business quality strengthens.</w:t>
            </w:r>
          </w:p>
        </w:tc>
      </w:tr>
      <w:tr w:rsidR="00FA67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AVOID (&lt; 55)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A67E4" w:rsidRDefault="00F268DF">
            <w:r>
              <w:t>Zer</w:t>
            </w:r>
            <w:r>
              <w:t>o. Business quality, moat or management are insufficient for a 5-year hold.</w:t>
            </w:r>
          </w:p>
        </w:tc>
      </w:tr>
    </w:tbl>
    <w:p w:rsidR="00FA67E4" w:rsidRDefault="00FA67E4">
      <w:pPr>
        <w:spacing w:before="80"/>
      </w:pPr>
    </w:p>
    <w:p w:rsidR="00FA67E4" w:rsidRDefault="00F268DF">
      <w:pPr>
        <w:spacing w:before="280" w:after="100"/>
      </w:pPr>
      <w:r>
        <w:rPr>
          <w:b/>
          <w:bCs/>
          <w:color w:val="2E75B6"/>
          <w:sz w:val="28"/>
          <w:szCs w:val="28"/>
        </w:rPr>
        <w:t>Portfolio Rules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Maximum 25–30 stocks in long-term portfolio (more diversification needed than positional).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No single stock &gt; 10% of long-term portfolio at cost.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 xml:space="preserve">No single sector </w:t>
      </w:r>
      <w:r>
        <w:t>&gt; 25% of portfolio.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Minimum 3 stocks per sector you are invested in (avoid single-stock sector bets).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Re-score the entire portfolio every quarter (after quarterly results are out).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 xml:space="preserve">If a stock's total score drops below 55 for two consecutive quarters, exit </w:t>
      </w:r>
      <w:r>
        <w:t>within 30 days.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If business quality score (Pillar 1) drops more than 8 points in one quarter, immediate review required.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Increase position in STRONG BUY stocks when price corrects 15%+ without thesis change.</w:t>
      </w:r>
    </w:p>
    <w:p w:rsidR="00FA67E4" w:rsidRDefault="00FA67E4">
      <w:pPr>
        <w:spacing w:before="120"/>
      </w:pPr>
    </w:p>
    <w:p w:rsidR="00FA67E4" w:rsidRDefault="00F268DF">
      <w:pPr>
        <w:spacing w:before="280" w:after="100"/>
      </w:pPr>
      <w:r>
        <w:rPr>
          <w:b/>
          <w:bCs/>
          <w:color w:val="2E75B6"/>
          <w:sz w:val="28"/>
          <w:szCs w:val="28"/>
        </w:rPr>
        <w:t>Exit Rules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Score drops below 55 for 2 consecuti</w:t>
      </w:r>
      <w:r>
        <w:t>ve quarterly re-scores.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Promoter pledge exceeds 20% of holding OR promoter holding falls below 25%.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Revenue growth turns negative for 2 consecutive quarters (not seasonal).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Auditor qualification on going concern, fraud, or material misstatement.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Moat is cl</w:t>
      </w:r>
      <w:r>
        <w:t>early broken (competitor takes &gt; 5% market share in 12 months).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Better opportunity: another stock scores 15+ points higher with similar sector exposure.</w:t>
      </w:r>
    </w:p>
    <w:p w:rsidR="00FA67E4" w:rsidRDefault="00F268DF">
      <w:pPr>
        <w:pStyle w:val="ListParagraph"/>
        <w:numPr>
          <w:ilvl w:val="0"/>
          <w:numId w:val="2"/>
        </w:numPr>
        <w:spacing w:before="40" w:after="40"/>
      </w:pPr>
      <w:r>
        <w:t>Target achieved: stock has returned 3x or more AND current score drops below 70 on valuation.</w:t>
      </w:r>
    </w:p>
    <w:p w:rsidR="00FA67E4" w:rsidRDefault="00FA67E4">
      <w:pPr>
        <w:spacing w:before="120"/>
      </w:pPr>
    </w:p>
    <w:p w:rsidR="00FA67E4" w:rsidRDefault="00F268DF">
      <w:pPr>
        <w:spacing w:before="280" w:after="100"/>
      </w:pPr>
      <w:r>
        <w:rPr>
          <w:b/>
          <w:bCs/>
          <w:color w:val="2E75B6"/>
          <w:sz w:val="28"/>
          <w:szCs w:val="28"/>
        </w:rPr>
        <w:t>Red Flag</w:t>
      </w:r>
      <w:r>
        <w:rPr>
          <w:b/>
          <w:bCs/>
          <w:color w:val="2E75B6"/>
          <w:sz w:val="28"/>
          <w:szCs w:val="28"/>
        </w:rPr>
        <w:t>s — Automatic Disqualifiers</w:t>
      </w:r>
    </w:p>
    <w:p w:rsidR="00FA67E4" w:rsidRDefault="00F268DF">
      <w:pPr>
        <w:pBdr>
          <w:left w:val="single" w:sz="12" w:space="8" w:color="7B1E1E"/>
        </w:pBdr>
        <w:spacing w:before="100" w:after="100"/>
        <w:ind w:left="360"/>
      </w:pPr>
      <w:r>
        <w:rPr>
          <w:i/>
          <w:iCs/>
          <w:color w:val="5F5E5A"/>
          <w:sz w:val="19"/>
          <w:szCs w:val="19"/>
        </w:rPr>
        <w:t>Any one of these eliminates a stock from long-term consideration regardless of score:</w:t>
      </w:r>
    </w:p>
    <w:p w:rsidR="00FA67E4" w:rsidRDefault="00FA67E4">
      <w:pPr>
        <w:spacing w:before="60"/>
      </w:pPr>
    </w:p>
    <w:p w:rsidR="00FA67E4" w:rsidRDefault="00F268DF">
      <w:pPr>
        <w:pStyle w:val="ListParagraph"/>
        <w:numPr>
          <w:ilvl w:val="0"/>
          <w:numId w:val="3"/>
        </w:numPr>
        <w:spacing w:before="40" w:after="40"/>
      </w:pPr>
      <w:r>
        <w:t>Promoter pledge &gt; 50% of promoter holding</w:t>
      </w:r>
    </w:p>
    <w:p w:rsidR="00FA67E4" w:rsidRDefault="00F268DF">
      <w:pPr>
        <w:pStyle w:val="ListParagraph"/>
        <w:numPr>
          <w:ilvl w:val="0"/>
          <w:numId w:val="3"/>
        </w:numPr>
        <w:spacing w:before="40" w:after="40"/>
      </w:pPr>
      <w:r>
        <w:t>SEBI investigation, SFIO probe, or criminal charges on promoter</w:t>
      </w:r>
    </w:p>
    <w:p w:rsidR="00FA67E4" w:rsidRDefault="00F268DF">
      <w:pPr>
        <w:pStyle w:val="ListParagraph"/>
        <w:numPr>
          <w:ilvl w:val="0"/>
          <w:numId w:val="3"/>
        </w:numPr>
        <w:spacing w:before="40" w:after="40"/>
      </w:pPr>
      <w:r>
        <w:t>Auditor resignation without clear explanation</w:t>
      </w:r>
    </w:p>
    <w:p w:rsidR="00FA67E4" w:rsidRDefault="00F268DF">
      <w:pPr>
        <w:pStyle w:val="ListParagraph"/>
        <w:numPr>
          <w:ilvl w:val="0"/>
          <w:numId w:val="3"/>
        </w:numPr>
        <w:spacing w:before="40" w:after="40"/>
      </w:pPr>
      <w:r>
        <w:t>Debt/Equity &gt; 4 (except financial services)</w:t>
      </w:r>
    </w:p>
    <w:p w:rsidR="00FA67E4" w:rsidRDefault="00F268DF">
      <w:pPr>
        <w:pStyle w:val="ListParagraph"/>
        <w:numPr>
          <w:ilvl w:val="0"/>
          <w:numId w:val="3"/>
        </w:numPr>
        <w:spacing w:before="40" w:after="40"/>
      </w:pPr>
      <w:r>
        <w:t>PAT negative for 3 consecutive years</w:t>
      </w:r>
    </w:p>
    <w:p w:rsidR="00FA67E4" w:rsidRDefault="00F268DF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Related Party Transactions &gt; 20% of revenue</w:t>
      </w:r>
    </w:p>
    <w:p w:rsidR="00FA67E4" w:rsidRDefault="00F268DF">
      <w:pPr>
        <w:pStyle w:val="ListParagraph"/>
        <w:numPr>
          <w:ilvl w:val="0"/>
          <w:numId w:val="3"/>
        </w:numPr>
        <w:spacing w:before="40" w:after="40"/>
      </w:pPr>
      <w:r>
        <w:t>More than 3 CFO changes in 5 years</w:t>
      </w:r>
    </w:p>
    <w:p w:rsidR="00FA67E4" w:rsidRDefault="00FA67E4">
      <w:pPr>
        <w:spacing w:before="200"/>
      </w:pPr>
    </w:p>
    <w:p w:rsidR="00FA67E4" w:rsidRDefault="00F268DF">
      <w:pPr>
        <w:pBdr>
          <w:top w:val="single" w:sz="4" w:space="8" w:color="5F5E5A"/>
        </w:pBdr>
        <w:spacing w:before="200" w:after="60"/>
      </w:pPr>
      <w:r>
        <w:rPr>
          <w:b/>
          <w:bCs/>
          <w:color w:val="5F5E5A"/>
        </w:rPr>
        <w:t>Disclaimer</w:t>
      </w:r>
    </w:p>
    <w:p w:rsidR="00FA67E4" w:rsidRDefault="00F268DF">
      <w:pPr>
        <w:spacing w:before="60" w:after="60"/>
      </w:pPr>
      <w:r>
        <w:t>This scoring system is an analytical framework for personal use only. Scores are computed from publicly available data. This document is not SEBI-registered investment advice. Past performance of individual stocks does not guarantee future returns. Long-te</w:t>
      </w:r>
      <w:r>
        <w:t>rm equity investing involves risk of principal loss. Always verify data from company filings, Screener.in and BSE/NSE before making investment decisions. Consider consulting a SEBI-registered investment advisor for personalised advice.</w:t>
      </w:r>
    </w:p>
    <w:sectPr w:rsidR="00FA67E4" w:rsidSect="00FA67E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68DF" w:rsidRDefault="00F268DF" w:rsidP="00FA67E4">
      <w:r>
        <w:separator/>
      </w:r>
    </w:p>
  </w:endnote>
  <w:endnote w:type="continuationSeparator" w:id="1">
    <w:p w:rsidR="00F268DF" w:rsidRDefault="00F268DF" w:rsidP="00FA67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67E4" w:rsidRDefault="00F268DF">
    <w:pPr>
      <w:pBdr>
        <w:top w:val="single" w:sz="4" w:space="4" w:color="1D6035"/>
      </w:pBdr>
    </w:pPr>
    <w:r>
      <w:rPr>
        <w:i/>
        <w:iCs/>
        <w:color w:val="5F5E5A"/>
        <w:sz w:val="16"/>
        <w:szCs w:val="16"/>
      </w:rPr>
      <w:t>Not SEBI-registered investment advice. For personal use only. Re-score every quarter.</w:t>
    </w:r>
    <w:r>
      <w:rPr>
        <w:color w:val="5F5E5A"/>
        <w:sz w:val="16"/>
        <w:szCs w:val="16"/>
      </w:rPr>
      <w:t xml:space="preserve">   |   Page </w:t>
    </w:r>
    <w:r w:rsidR="00FA67E4"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 w:rsidR="003367D9">
      <w:rPr>
        <w:color w:val="5F5E5A"/>
        <w:sz w:val="16"/>
        <w:szCs w:val="16"/>
      </w:rPr>
      <w:fldChar w:fldCharType="separate"/>
    </w:r>
    <w:r w:rsidR="00357C17">
      <w:rPr>
        <w:noProof/>
        <w:color w:val="5F5E5A"/>
        <w:sz w:val="16"/>
        <w:szCs w:val="16"/>
      </w:rPr>
      <w:t>3</w:t>
    </w:r>
    <w:r w:rsidR="00FA67E4">
      <w:rPr>
        <w:color w:val="5F5E5A"/>
        <w:sz w:val="16"/>
        <w:szCs w:val="16"/>
      </w:rPr>
      <w:fldChar w:fldCharType="end"/>
    </w:r>
    <w:r>
      <w:rPr>
        <w:color w:val="5F5E5A"/>
        <w:sz w:val="16"/>
        <w:szCs w:val="16"/>
      </w:rPr>
      <w:t xml:space="preserve"> of </w:t>
    </w:r>
    <w:r w:rsidR="00FA67E4"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NUMPAGES</w:instrText>
    </w:r>
    <w:r w:rsidR="003367D9">
      <w:rPr>
        <w:color w:val="5F5E5A"/>
        <w:sz w:val="16"/>
        <w:szCs w:val="16"/>
      </w:rPr>
      <w:fldChar w:fldCharType="separate"/>
    </w:r>
    <w:r w:rsidR="00357C17">
      <w:rPr>
        <w:noProof/>
        <w:color w:val="5F5E5A"/>
        <w:sz w:val="16"/>
        <w:szCs w:val="16"/>
      </w:rPr>
      <w:t>17</w:t>
    </w:r>
    <w:r w:rsidR="00FA67E4"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68DF" w:rsidRDefault="00F268DF" w:rsidP="00FA67E4">
      <w:r>
        <w:separator/>
      </w:r>
    </w:p>
  </w:footnote>
  <w:footnote w:type="continuationSeparator" w:id="1">
    <w:p w:rsidR="00F268DF" w:rsidRDefault="00F268DF" w:rsidP="00FA67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67E4" w:rsidRDefault="00F268DF">
    <w:pPr>
      <w:pBdr>
        <w:bottom w:val="single" w:sz="4" w:space="6" w:color="1D6035"/>
      </w:pBdr>
    </w:pPr>
    <w:r>
      <w:rPr>
        <w:color w:val="5F5E5A"/>
        <w:sz w:val="18"/>
        <w:szCs w:val="18"/>
      </w:rPr>
      <w:t>Long-Term Investment Scoring System</w:t>
    </w:r>
    <w:r>
      <w:rPr>
        <w:color w:val="1D6035"/>
        <w:sz w:val="18"/>
        <w:szCs w:val="18"/>
      </w:rPr>
      <w:t xml:space="preserve">    </w:t>
    </w:r>
    <w:r w:rsidR="00357C17">
      <w:rPr>
        <w:color w:val="1D6035"/>
        <w:sz w:val="18"/>
        <w:szCs w:val="18"/>
      </w:rPr>
      <w:t>USER</w:t>
    </w:r>
    <w:r>
      <w:rPr>
        <w:color w:val="1D6035"/>
        <w:sz w:val="18"/>
        <w:szCs w:val="18"/>
      </w:rPr>
      <w:t xml:space="preserve"> · NSE 500 · 5–6 Year Horizon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841D64"/>
    <w:multiLevelType w:val="hybridMultilevel"/>
    <w:tmpl w:val="770CA3C4"/>
    <w:lvl w:ilvl="0" w:tplc="0574AFB4">
      <w:start w:val="1"/>
      <w:numFmt w:val="bullet"/>
      <w:lvlText w:val="•"/>
      <w:lvlJc w:val="left"/>
      <w:pPr>
        <w:ind w:left="720" w:hanging="360"/>
      </w:pPr>
    </w:lvl>
    <w:lvl w:ilvl="1" w:tplc="355682D2">
      <w:numFmt w:val="decimal"/>
      <w:lvlText w:val=""/>
      <w:lvlJc w:val="left"/>
    </w:lvl>
    <w:lvl w:ilvl="2" w:tplc="118225C2">
      <w:numFmt w:val="decimal"/>
      <w:lvlText w:val=""/>
      <w:lvlJc w:val="left"/>
    </w:lvl>
    <w:lvl w:ilvl="3" w:tplc="FA36A6A2">
      <w:numFmt w:val="decimal"/>
      <w:lvlText w:val=""/>
      <w:lvlJc w:val="left"/>
    </w:lvl>
    <w:lvl w:ilvl="4" w:tplc="116CDA72">
      <w:numFmt w:val="decimal"/>
      <w:lvlText w:val=""/>
      <w:lvlJc w:val="left"/>
    </w:lvl>
    <w:lvl w:ilvl="5" w:tplc="F19225D0">
      <w:numFmt w:val="decimal"/>
      <w:lvlText w:val=""/>
      <w:lvlJc w:val="left"/>
    </w:lvl>
    <w:lvl w:ilvl="6" w:tplc="0EF064D0">
      <w:numFmt w:val="decimal"/>
      <w:lvlText w:val=""/>
      <w:lvlJc w:val="left"/>
    </w:lvl>
    <w:lvl w:ilvl="7" w:tplc="E038835A">
      <w:numFmt w:val="decimal"/>
      <w:lvlText w:val=""/>
      <w:lvlJc w:val="left"/>
    </w:lvl>
    <w:lvl w:ilvl="8" w:tplc="72F6A18E">
      <w:numFmt w:val="decimal"/>
      <w:lvlText w:val=""/>
      <w:lvlJc w:val="left"/>
    </w:lvl>
  </w:abstractNum>
  <w:abstractNum w:abstractNumId="1">
    <w:nsid w:val="38183AA6"/>
    <w:multiLevelType w:val="hybridMultilevel"/>
    <w:tmpl w:val="7D3857FC"/>
    <w:lvl w:ilvl="0" w:tplc="EBCCAFEA">
      <w:start w:val="1"/>
      <w:numFmt w:val="decimal"/>
      <w:lvlText w:val="%1."/>
      <w:lvlJc w:val="left"/>
      <w:pPr>
        <w:ind w:left="720" w:hanging="360"/>
      </w:pPr>
    </w:lvl>
    <w:lvl w:ilvl="1" w:tplc="3E98BDB8">
      <w:numFmt w:val="decimal"/>
      <w:lvlText w:val=""/>
      <w:lvlJc w:val="left"/>
    </w:lvl>
    <w:lvl w:ilvl="2" w:tplc="E8A49822">
      <w:numFmt w:val="decimal"/>
      <w:lvlText w:val=""/>
      <w:lvlJc w:val="left"/>
    </w:lvl>
    <w:lvl w:ilvl="3" w:tplc="E9840CEC">
      <w:numFmt w:val="decimal"/>
      <w:lvlText w:val=""/>
      <w:lvlJc w:val="left"/>
    </w:lvl>
    <w:lvl w:ilvl="4" w:tplc="F852117C">
      <w:numFmt w:val="decimal"/>
      <w:lvlText w:val=""/>
      <w:lvlJc w:val="left"/>
    </w:lvl>
    <w:lvl w:ilvl="5" w:tplc="1A68907A">
      <w:numFmt w:val="decimal"/>
      <w:lvlText w:val=""/>
      <w:lvlJc w:val="left"/>
    </w:lvl>
    <w:lvl w:ilvl="6" w:tplc="0924EF18">
      <w:numFmt w:val="decimal"/>
      <w:lvlText w:val=""/>
      <w:lvlJc w:val="left"/>
    </w:lvl>
    <w:lvl w:ilvl="7" w:tplc="EA6EFB5A">
      <w:numFmt w:val="decimal"/>
      <w:lvlText w:val=""/>
      <w:lvlJc w:val="left"/>
    </w:lvl>
    <w:lvl w:ilvl="8" w:tplc="5D3AE070">
      <w:numFmt w:val="decimal"/>
      <w:lvlText w:val=""/>
      <w:lvlJc w:val="left"/>
    </w:lvl>
  </w:abstractNum>
  <w:abstractNum w:abstractNumId="2">
    <w:nsid w:val="5B8E10D0"/>
    <w:multiLevelType w:val="hybridMultilevel"/>
    <w:tmpl w:val="8A7E8E6E"/>
    <w:lvl w:ilvl="0" w:tplc="75E438F8">
      <w:start w:val="1"/>
      <w:numFmt w:val="bullet"/>
      <w:lvlText w:val="●"/>
      <w:lvlJc w:val="left"/>
      <w:pPr>
        <w:ind w:left="720" w:hanging="360"/>
      </w:pPr>
    </w:lvl>
    <w:lvl w:ilvl="1" w:tplc="E58EFD98">
      <w:start w:val="1"/>
      <w:numFmt w:val="bullet"/>
      <w:lvlText w:val="○"/>
      <w:lvlJc w:val="left"/>
      <w:pPr>
        <w:ind w:left="1440" w:hanging="360"/>
      </w:pPr>
    </w:lvl>
    <w:lvl w:ilvl="2" w:tplc="397A6856">
      <w:start w:val="1"/>
      <w:numFmt w:val="bullet"/>
      <w:lvlText w:val="■"/>
      <w:lvlJc w:val="left"/>
      <w:pPr>
        <w:ind w:left="2160" w:hanging="360"/>
      </w:pPr>
    </w:lvl>
    <w:lvl w:ilvl="3" w:tplc="289652FA">
      <w:start w:val="1"/>
      <w:numFmt w:val="bullet"/>
      <w:lvlText w:val="●"/>
      <w:lvlJc w:val="left"/>
      <w:pPr>
        <w:ind w:left="2880" w:hanging="360"/>
      </w:pPr>
    </w:lvl>
    <w:lvl w:ilvl="4" w:tplc="B3C28D92">
      <w:start w:val="1"/>
      <w:numFmt w:val="bullet"/>
      <w:lvlText w:val="○"/>
      <w:lvlJc w:val="left"/>
      <w:pPr>
        <w:ind w:left="3600" w:hanging="360"/>
      </w:pPr>
    </w:lvl>
    <w:lvl w:ilvl="5" w:tplc="8B085C3E">
      <w:start w:val="1"/>
      <w:numFmt w:val="bullet"/>
      <w:lvlText w:val="■"/>
      <w:lvlJc w:val="left"/>
      <w:pPr>
        <w:ind w:left="4320" w:hanging="360"/>
      </w:pPr>
    </w:lvl>
    <w:lvl w:ilvl="6" w:tplc="3EBC4130">
      <w:start w:val="1"/>
      <w:numFmt w:val="bullet"/>
      <w:lvlText w:val="●"/>
      <w:lvlJc w:val="left"/>
      <w:pPr>
        <w:ind w:left="5040" w:hanging="360"/>
      </w:pPr>
    </w:lvl>
    <w:lvl w:ilvl="7" w:tplc="405A3282">
      <w:start w:val="1"/>
      <w:numFmt w:val="bullet"/>
      <w:lvlText w:val="●"/>
      <w:lvlJc w:val="left"/>
      <w:pPr>
        <w:ind w:left="5760" w:hanging="360"/>
      </w:pPr>
    </w:lvl>
    <w:lvl w:ilvl="8" w:tplc="2E8627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A67E4"/>
    <w:rsid w:val="003367D9"/>
    <w:rsid w:val="00357C17"/>
    <w:rsid w:val="00F268DF"/>
    <w:rsid w:val="00FA6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A67E4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A67E4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A67E4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A67E4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A67E4"/>
    <w:pPr>
      <w:outlineLvl w:val="4"/>
    </w:pPr>
    <w:rPr>
      <w:color w:val="2E74B5"/>
    </w:rPr>
  </w:style>
  <w:style w:type="paragraph" w:styleId="Heading6">
    <w:name w:val="heading 6"/>
    <w:qFormat/>
    <w:rsid w:val="00FA67E4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A67E4"/>
    <w:rPr>
      <w:sz w:val="56"/>
      <w:szCs w:val="56"/>
    </w:rPr>
  </w:style>
  <w:style w:type="paragraph" w:customStyle="1" w:styleId="Strong1">
    <w:name w:val="Strong1"/>
    <w:qFormat/>
    <w:rsid w:val="00FA67E4"/>
    <w:rPr>
      <w:b/>
      <w:bCs/>
    </w:rPr>
  </w:style>
  <w:style w:type="paragraph" w:styleId="ListParagraph">
    <w:name w:val="List Paragraph"/>
    <w:qFormat/>
    <w:rsid w:val="00FA67E4"/>
  </w:style>
  <w:style w:type="character" w:styleId="Hyperlink">
    <w:name w:val="Hyperlink"/>
    <w:uiPriority w:val="99"/>
    <w:unhideWhenUsed/>
    <w:rsid w:val="00FA67E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A67E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A67E4"/>
  </w:style>
  <w:style w:type="character" w:customStyle="1" w:styleId="FootnoteTextChar">
    <w:name w:val="Footnote Text Char"/>
    <w:link w:val="FootnoteText"/>
    <w:uiPriority w:val="99"/>
    <w:semiHidden/>
    <w:unhideWhenUsed/>
    <w:rsid w:val="00FA67E4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A67E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A67E4"/>
  </w:style>
  <w:style w:type="character" w:customStyle="1" w:styleId="EndnoteTextChar">
    <w:name w:val="Endnote Text Char"/>
    <w:link w:val="EndnoteText"/>
    <w:uiPriority w:val="99"/>
    <w:semiHidden/>
    <w:unhideWhenUsed/>
    <w:rsid w:val="00FA67E4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57C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7C17"/>
  </w:style>
  <w:style w:type="paragraph" w:styleId="Footer">
    <w:name w:val="footer"/>
    <w:basedOn w:val="Normal"/>
    <w:link w:val="FooterChar"/>
    <w:uiPriority w:val="99"/>
    <w:semiHidden/>
    <w:unhideWhenUsed/>
    <w:rsid w:val="00357C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7C1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3259</Words>
  <Characters>18578</Characters>
  <Application>Microsoft Office Word</Application>
  <DocSecurity>0</DocSecurity>
  <Lines>154</Lines>
  <Paragraphs>43</Paragraphs>
  <ScaleCrop>false</ScaleCrop>
  <Company/>
  <LinksUpToDate>false</LinksUpToDate>
  <CharactersWithSpaces>21794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Long-Term Investment Scoring System — 5-6 Year Horizon</dc:title>
  <dc:creator>VGP258 Long-Term Investment Screener</dc:creator>
  <cp:lastModifiedBy>Shailesh Singh</cp:lastModifiedBy>
  <cp:revision>3</cp:revision>
  <dcterms:created xsi:type="dcterms:W3CDTF">2026-05-28T19:02:00Z</dcterms:created>
  <dcterms:modified xsi:type="dcterms:W3CDTF">2026-05-28T21:59:00Z</dcterms:modified>
</cp:coreProperties>
</file>