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Shailesh Waren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 Applied: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Gen AI Engineer (MY) (For Testing Only)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     |     Relevant Experience: </w:t>
      </w:r>
      <w:r>
        <w:rPr>
          <w:rFonts w:ascii="Arial" w:cs="Arial" w:eastAsia="Arial" w:hAnsi="Arial"/>
          <w:sz w:val="24"/>
          <w:szCs w:val="24"/>
        </w:rPr>
        <w:t xml:space="preserve">3 Years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Petaling Jaya, Malaysia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 |     Notice Period: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[To be filled by recruiter]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Nationality: </w:t>
      </w:r>
      <w:r>
        <w:rPr>
          <w:rFonts w:ascii="Arial" w:cs="Arial" w:eastAsia="Arial" w:hAnsi="Arial"/>
          <w:sz w:val="22"/>
          <w:szCs w:val="22"/>
        </w:rPr>
        <w:t xml:space="preserve">Malaysian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AI Score: 97/100    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  PASS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 Report Date: 17 March 2026</w:t>
      </w:r>
    </w:p>
    <w:p>
      <w:pPr>
        <w:pBdr>
          <w:bottom w:val="single" w:color="2E75B6" w:sz="8"/>
        </w:pBdr>
        <w:spacing w:after="100" w:before="24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Recruiter's Assessment</w:t>
      </w:r>
    </w:p>
    <w:p>
      <w:pPr>
        <w:spacing w:after="12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candidate is a strong fit for the role, showcasing extensive experience in building end-to-end AI systems and strong proficiency in Python and FastAPI. Key strengths include hands-on experience with RAG implementations and LLM integrations. However, there is limited evidence of DevOps practices and React.js dashboard development.</w:t>
            </w:r>
          </w:p>
        </w:tc>
      </w:tr>
    </w:tbl>
    <w:p>
      <w:pPr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8"/>
        </w:pBdr>
        <w:spacing w:after="100" w:before="24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Compliance Gates</w:t>
      </w:r>
    </w:p>
    <w:p>
      <w:pPr>
        <w:spacing w:after="12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1000"/>
        <w:gridCol w:w="4680"/>
      </w:tblGrid>
      <w:tr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D1D1D1" w:sz="4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BBBBB" w:sz="4"/>
              <w:left w:val="none" w:color="FFFFFF" w:sz="0"/>
              <w:bottom w:val="single" w:color="D1D1D1" w:sz="4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Fit</w:t>
            </w:r>
          </w:p>
        </w:tc>
        <w:tc>
          <w:tcPr>
            <w:tcW w:type="dxa" w:w="4680"/>
            <w:tcBorders>
              <w:top w:val="single" w:color="BBBBBB" w:sz="4"/>
              <w:left w:val="none" w:color="FFFFFF" w:sz="0"/>
              <w:bottom w:val="single" w:color="D1D1D1" w:sz="4"/>
              <w:right w:val="single" w:color="BBBBBB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Evidence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Bachelor's degree in Computer Science, Software Engineering, AI, or a closely related field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Bachelor of Computer Science in Data Science | Monash University Malaysia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to 4 years of professional experience building production software systems (including GenAI/RAG)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3+ years of experience designing and shipping end-to-end AI-powered systems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BBBBBB" w:sz="4"/>
              <w:bottom w:val="single" w:color="BBBBBB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Able to work onsite in Ara Damansara, Petaling Jaya (full-time)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BBBBBB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Address: Petaling Jaya, Malaysia</w:t>
            </w:r>
          </w:p>
        </w:tc>
      </w:tr>
    </w:tbl>
    <w:p>
      <w:pPr>
        <w:spacing w:after="24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2E75B6" w:sz="8"/>
        </w:pBdr>
        <w:spacing w:after="100" w:before="24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Must-Have Requirements</w:t>
      </w:r>
    </w:p>
    <w:p>
      <w:pPr>
        <w:spacing w:after="12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1000"/>
        <w:gridCol w:w="4680"/>
      </w:tblGrid>
      <w:tr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D1D1D1" w:sz="4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BBBBB" w:sz="4"/>
              <w:left w:val="none" w:color="FFFFFF" w:sz="0"/>
              <w:bottom w:val="single" w:color="D1D1D1" w:sz="4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Fit</w:t>
            </w:r>
          </w:p>
        </w:tc>
        <w:tc>
          <w:tcPr>
            <w:tcW w:type="dxa" w:w="4680"/>
            <w:tcBorders>
              <w:top w:val="single" w:color="BBBBBB" w:sz="4"/>
              <w:left w:val="none" w:color="FFFFFF" w:sz="0"/>
              <w:bottom w:val="single" w:color="D1D1D1" w:sz="4"/>
              <w:right w:val="single" w:color="BBBBBB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Evidence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 end-to-end full-stack delivery (UI → API/services → database → AI processing) for a production application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Developed the Airtable-Streamlit-FastAPI Recruitment Pipeline — a fullstack AI recruitment app (Python · FastAPI · Streamlit · Airtable · OpenAI API) with a REST API backend, interactive recruiter dashboard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Hands-on RAG implementation: chunking, embeddings, vector retrieval, reranking, and retrieval grounding for candidate–job fit analysis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Developed the Supabase-NocoDB AI Recruitment Pipeline — an end-to-end Agentic RAG system (Python · GPT-4o-mini · Supabase + pgvector · NocoDB · Manatal API) that ingests CVs, scores candidates against YAML rubrics, stores vector embeddings for semantic search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 Python engineering for backend services and AI processing jobs (CV ingestion, scoring, report generation) including reliability practices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using Python, Make—a low-code workflow automation platform—and the ChatGPT API to orchestrate complex, multi-step reasoning workflows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React.js dashboard development with strong UI/UX for filters, analytics, and recruiter/hiring-manager workflows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Developed the Airtable-Streamlit-FastAPI Recruitment Pipeline — a fullstack AI recruitment app (Python · FastAPI · Streamlit · Airtable · OpenAI API) with a REST API backend, interactive recruiter dashboard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backend development including well-designed REST APIs, data management, and report-generation endpoints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Developed the Airtable-Streamlit-FastAPI Recruitment Pipeline — a fullstack AI recruitment app (Python · FastAPI · Streamlit · Airtable · OpenAI API) with a REST API backend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architecture using Supabase/PostgreSQL with pgvector for hybrid (keyword + semantic) search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Developed the Supabase-NocoDB AI Recruitment Pipeline — an end-to-end Agentic RAG system (Python · GPT-4o-mini · Supabase + pgvector · NocoDB · Manatal API)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integrations (Claude/OpenAI) including embeddings usage and prompt engineering with reliability controls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Integrated Manatal with LLM reasoning engines using Model Context Protocol (MCP) servers and REST APIs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&amp; deployment fundamentals: Git workflows, testing, observability/error handling, cron scheduling, and cloud deployment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Utilized Azure AI Foundry for prompt engineering, model comparison, regression testing, and iterative refinement of agentic workflows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BBBBBB" w:sz="4"/>
              <w:bottom w:val="single" w:color="BBBBBB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Proven external API integration experience (LLM providers, email services, and other third-party systems) including auth and webhooks where applicable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BBBBBB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Integrated Manatal with LLM reasoning engines using Model Context Protocol (MCP) servers and REST APIs</w:t>
            </w:r>
          </w:p>
        </w:tc>
      </w:tr>
    </w:tbl>
    <w:p>
      <w:pPr>
        <w:spacing w:after="24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2E75B6" w:sz="8"/>
        </w:pBdr>
        <w:spacing w:after="100" w:before="24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Nice-to-Have</w:t>
      </w:r>
    </w:p>
    <w:p>
      <w:pPr>
        <w:spacing w:after="12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1000"/>
        <w:gridCol w:w="4680"/>
      </w:tblGrid>
      <w:tr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D1D1D1" w:sz="4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BBBBB" w:sz="4"/>
              <w:left w:val="none" w:color="FFFFFF" w:sz="0"/>
              <w:bottom w:val="single" w:color="D1D1D1" w:sz="4"/>
              <w:right w:val="none" w:color="FFFFFF" w:sz="0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Fit</w:t>
            </w:r>
          </w:p>
        </w:tc>
        <w:tc>
          <w:tcPr>
            <w:tcW w:type="dxa" w:w="4680"/>
            <w:tcBorders>
              <w:top w:val="single" w:color="BBBBBB" w:sz="4"/>
              <w:left w:val="none" w:color="FFFFFF" w:sz="0"/>
              <w:bottom w:val="single" w:color="D1D1D1" w:sz="4"/>
              <w:right w:val="single" w:color="BBBBBB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Evidence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LangChain experience for building knowledge-based RAG systems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LangChain (state management &amp; agent cycles)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LlamaIndex experience for indexing/query engines and retrieval workflows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LlamaIndex (data ingestion &amp; retrieval)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MCP (Model Context Protocol) and/or AI agent frameworks experience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Integrated Manatal with LLM reasoning engines using Model Context Protocol (MCP) servers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 experience for automated testing and deployment pipelines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D1D1D1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 (GitHub Actions)</w:t>
            </w:r>
          </w:p>
        </w:tc>
      </w:tr>
      <w:tr>
        <w:tc>
          <w:tcPr>
            <w:tcW w:type="dxa" w:w="3680"/>
            <w:tcBorders>
              <w:top w:val="single" w:color="D1D1D1" w:sz="4"/>
              <w:left w:val="single" w:color="BBBBBB" w:sz="4"/>
              <w:bottom w:val="single" w:color="BBBBBB" w:sz="4"/>
              <w:right w:val="single" w:color="D1D1D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for containerized development environments</w:t>
            </w:r>
          </w:p>
        </w:tc>
        <w:tc>
          <w:tcPr>
            <w:tcW w:type="dxa" w:w="1000"/>
            <w:tcBorders>
              <w:top w:val="single" w:color="D1D1D1" w:sz="4"/>
              <w:left w:val="single" w:color="D1D1D1" w:sz="4"/>
              <w:bottom w:val="single" w:color="BBBBBB" w:sz="4"/>
              <w:right w:val="single" w:color="D1D1D1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Meets</w:t>
            </w:r>
          </w:p>
        </w:tc>
        <w:tc>
          <w:tcPr>
            <w:tcW w:type="dxa" w:w="4680"/>
            <w:tcBorders>
              <w:top w:val="single" w:color="D1D1D1" w:sz="4"/>
              <w:left w:val="single" w:color="D1D1D1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</w:t>
            </w:r>
          </w:p>
        </w:tc>
      </w:tr>
    </w:tbl>
    <w:p>
      <w:pPr>
        <w:spacing w:after="320" w:before="0"/>
      </w:pPr>
      <w:r>
        <w:rPr>
          <w:sz w:val="32"/>
          <w:szCs w:val="32"/>
        </w:rPr>
        <w:t xml:space="preserve"/>
      </w:r>
    </w:p>
    <w:p>
      <w:pPr>
        <w:pBdr>
          <w:top w:val="single" w:color="CCCCCC" w:sz="4"/>
        </w:pBdr>
        <w:spacing w:after="0" w:before="24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Submitted by Oxydata Software Sdn Bhd  |  parikshit@oxydata.my  |  +603-7625 8298  |  www.oxydata.my</w:t>
      </w:r>
    </w:p>
    <w:p>
      <w:pPr>
        <w:spacing w:after="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Confidential — for evaluation purposes only. Do not contact candidate directly without consent.</w:t>
      </w:r>
    </w:p>
    <w:sectPr>
      <w:pgSz w:w="11906" w:h="16838" w:orient="portrait"/>
      <w:pgMar w:top="1224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2026-03-17T04:02:19.625Z</dcterms:created>
  <dcterms:modified xsi:type="dcterms:W3CDTF">2026-03-17T04:02:19.635Z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