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340" w:hRule="exact"/>
        </w:trPr>
        <w:tc>
          <w:tcPr>
            <w:tcW w:type="dxa" w:w="8640"/>
            <w:shd w:val="clear" w:color="auto" w:fill="1F3964"/>
          </w:tcPr>
          <w:p>
            <w:pPr>
              <w:spacing w:before="0" w:after="0"/>
              <w:spacing w:before="0" w:after="0"/>
            </w:pPr>
          </w:p>
        </w:tc>
      </w:tr>
    </w:tbl>
    <w:p>
      <w:pPr>
        <w:spacing w:after="80"/>
      </w:pPr>
    </w:p>
    <w:p>
      <w:pPr>
        <w:spacing w:before="0" w:after="80"/>
        <w:jc w:val="left"/>
      </w:pPr>
      <w:r>
        <w:drawing>
          <wp:inline xmlns:a="http://schemas.openxmlformats.org/drawingml/2006/main" xmlns:pic="http://schemas.openxmlformats.org/drawingml/2006/picture">
            <wp:extent cx="1645920" cy="872011"/>
            <wp:docPr id="1" name="Picture 1"/>
            <wp:cNvGraphicFramePr>
              <a:graphicFrameLocks noChangeAspect="1"/>
            </wp:cNvGraphicFramePr>
            <a:graphic>
              <a:graphicData uri="http://schemas.openxmlformats.org/drawingml/2006/picture">
                <pic:pic>
                  <pic:nvPicPr>
                    <pic:cNvPr id="0" name="watheeq_logo.jpg"/>
                    <pic:cNvPicPr/>
                  </pic:nvPicPr>
                  <pic:blipFill>
                    <a:blip r:embed="rId9"/>
                    <a:stretch>
                      <a:fillRect/>
                    </a:stretch>
                  </pic:blipFill>
                  <pic:spPr>
                    <a:xfrm>
                      <a:off x="0" y="0"/>
                      <a:ext cx="1645920" cy="872011"/>
                    </a:xfrm>
                    <a:prstGeom prst="rect"/>
                  </pic:spPr>
                </pic:pic>
              </a:graphicData>
            </a:graphic>
          </wp:inline>
        </w:drawing>
      </w:r>
    </w:p>
    <w:p>
      <w:pPr>
        <w:spacing w:after="200"/>
      </w:pPr>
    </w:p>
    <w:p>
      <w:pPr>
        <w:spacing w:after="200"/>
      </w:pPr>
    </w:p>
    <w:p>
      <w:pPr>
        <w:spacing w:after="200"/>
      </w:pPr>
    </w:p>
    <w:p>
      <w:pPr>
        <w:spacing w:after="200"/>
      </w:pPr>
    </w:p>
    <w:p>
      <w:pPr>
        <w:spacing w:before="0" w:after="280"/>
      </w:pPr>
      <w:r>
        <w:rPr>
          <w:rFonts w:ascii="Calibri" w:hAnsi="Calibri"/>
          <w:b/>
          <w:caps/>
          <w:color w:val="2E75B6"/>
          <w:sz w:val="18"/>
        </w:rPr>
        <w:t>BUSINESS REQUIREMENTS DOCUMENT</w:t>
      </w:r>
    </w:p>
    <w:p>
      <w:r>
        <w:rPr>
          <w:rFonts w:ascii="Calibri" w:hAnsi="Calibri"/>
          <w:b/>
          <w:color w:val="1F3964"/>
          <w:sz w:val="56"/>
        </w:rPr>
        <w:t>Newest</w:t>
      </w:r>
    </w:p>
    <w:p>
      <w:pPr>
        <w:spacing w:before="120" w:after="280"/>
        <w:pBdr>
          <w:bottom w:val="single" w:sz="12" w:space="1" w:color="2E75B6"/>
        </w:pBdr>
      </w:pPr>
    </w:p>
    <w:p>
      <w:pPr>
        <w:spacing w:after="200"/>
      </w:pPr>
    </w:p>
    <w:p>
      <w:pPr>
        <w:spacing w:after="200"/>
      </w:pPr>
    </w:p>
    <w:p>
      <w:pPr>
        <w:spacing w:after="200"/>
      </w:pPr>
    </w:p>
    <w:p>
      <w:pPr>
        <w:spacing w:after="100"/>
      </w:pPr>
      <w:r>
        <w:rPr>
          <w:rFonts w:ascii="Calibri" w:hAnsi="Calibri"/>
          <w:b/>
          <w:color w:val="404040"/>
          <w:sz w:val="20"/>
        </w:rPr>
        <w:t xml:space="preserve">Version:   </w:t>
      </w:r>
      <w:r>
        <w:rPr>
          <w:rFonts w:ascii="Calibri" w:hAnsi="Calibri"/>
          <w:color w:val="1F3964"/>
          <w:sz w:val="20"/>
        </w:rPr>
        <w:t>2.0</w:t>
      </w:r>
    </w:p>
    <w:p>
      <w:pPr>
        <w:spacing w:after="100"/>
      </w:pPr>
      <w:r>
        <w:rPr>
          <w:rFonts w:ascii="Calibri" w:hAnsi="Calibri"/>
          <w:b/>
          <w:color w:val="404040"/>
          <w:sz w:val="20"/>
        </w:rPr>
        <w:t xml:space="preserve">Date:   </w:t>
      </w:r>
      <w:r>
        <w:rPr>
          <w:rFonts w:ascii="Calibri" w:hAnsi="Calibri"/>
          <w:color w:val="1F3964"/>
          <w:sz w:val="20"/>
        </w:rPr>
        <w:t>2026-03-08</w:t>
      </w:r>
    </w:p>
    <w:p>
      <w:pPr>
        <w:spacing w:after="100"/>
      </w:pPr>
      <w:r>
        <w:rPr>
          <w:rFonts w:ascii="Calibri" w:hAnsi="Calibri"/>
          <w:b/>
          <w:color w:val="404040"/>
          <w:sz w:val="20"/>
        </w:rPr>
        <w:t xml:space="preserve">Author:   </w:t>
      </w:r>
      <w:r>
        <w:rPr>
          <w:rFonts w:ascii="Calibri" w:hAnsi="Calibri"/>
          <w:color w:val="1F3964"/>
          <w:sz w:val="20"/>
        </w:rPr>
        <w:t>Lina Saleh</w:t>
      </w:r>
    </w:p>
    <w:p>
      <w:pPr>
        <w:spacing w:after="100"/>
      </w:pPr>
      <w:r>
        <w:rPr>
          <w:rFonts w:ascii="Calibri" w:hAnsi="Calibri"/>
          <w:b/>
          <w:color w:val="404040"/>
          <w:sz w:val="20"/>
        </w:rPr>
        <w:t xml:space="preserve">Status:   </w:t>
      </w:r>
      <w:r>
        <w:rPr>
          <w:rFonts w:ascii="Calibri" w:hAnsi="Calibri"/>
          <w:color w:val="1F3964"/>
          <w:sz w:val="20"/>
        </w:rPr>
        <w:t>Approved</w:t>
      </w:r>
    </w:p>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198" w:hRule="exact"/>
        </w:trPr>
        <w:tc>
          <w:tcPr>
            <w:tcW w:type="dxa" w:w="8640"/>
            <w:shd w:val="clear" w:color="auto" w:fill="2E75B6"/>
          </w:tcPr>
          <w:p>
            <w:pPr>
              <w:spacing w:before="0" w:after="0"/>
              <w:spacing w:before="0" w:after="0"/>
            </w:pPr>
          </w:p>
        </w:tc>
      </w:tr>
    </w:tbl>
    <w:p>
      <w:r>
        <w:br w:type="page"/>
      </w:r>
    </w:p>
    <w:p>
      <w:pPr>
        <w:pStyle w:val="Heading1"/>
      </w:pPr>
      <w:r>
        <w:rPr>
          <w:color w:val="2E75B6"/>
        </w:rPr>
        <w:t>Appendix</w:t>
      </w:r>
    </w:p>
    <w:p>
      <w:pPr>
        <w:pStyle w:val="ListBullet"/>
      </w:pPr>
      <w:r>
        <w:t>Appendix A: Current system screenshots</w:t>
      </w:r>
    </w:p>
    <w:p>
      <w:pPr>
        <w:pStyle w:val="ListBullet"/>
      </w:pPr>
      <w:r>
        <w:t>Appendix B: Student survey results summary</w:t>
      </w:r>
    </w:p>
    <w:p>
      <w:pPr>
        <w:spacing w:after="40"/>
      </w:pPr>
    </w:p>
    <w:p>
      <w:pPr>
        <w:pStyle w:val="Heading1"/>
      </w:pPr>
      <w:r>
        <w:rPr>
          <w:color w:val="2E75B6"/>
        </w:rPr>
        <w:t>Glossary</w:t>
      </w:r>
    </w:p>
    <w:p>
      <w:pPr>
        <w:pStyle w:val="Heading2"/>
      </w:pPr>
      <w:r>
        <w:rPr>
          <w:color w:val="404040"/>
        </w:rPr>
        <w:t>LMS</w:t>
      </w:r>
    </w:p>
    <w:p>
      <w:pPr>
        <w:spacing w:before="0" w:after="20"/>
        <w:ind w:left="360"/>
      </w:pPr>
      <w:r>
        <w:rPr>
          <w:b/>
        </w:rPr>
        <w:t xml:space="preserve">Definition: </w:t>
      </w:r>
      <w:r>
        <w:t>Learning Management System for course content delivery</w:t>
      </w:r>
    </w:p>
    <w:p>
      <w:pPr>
        <w:spacing w:before="0" w:after="160"/>
      </w:pPr>
    </w:p>
    <w:p>
      <w:pPr>
        <w:pStyle w:val="Heading2"/>
      </w:pPr>
      <w:r>
        <w:rPr>
          <w:color w:val="404040"/>
        </w:rPr>
        <w:t>GPA</w:t>
      </w:r>
    </w:p>
    <w:p>
      <w:pPr>
        <w:spacing w:before="0" w:after="20"/>
        <w:ind w:left="360"/>
      </w:pPr>
      <w:r>
        <w:rPr>
          <w:b/>
        </w:rPr>
        <w:t xml:space="preserve">Definition: </w:t>
      </w:r>
      <w:r>
        <w:t>Grade Point Average calculated per semester</w:t>
      </w:r>
    </w:p>
    <w:p>
      <w:pPr>
        <w:spacing w:before="0" w:after="160"/>
      </w:pPr>
    </w:p>
    <w:p>
      <w:pPr>
        <w:spacing w:after="40"/>
      </w:pPr>
    </w:p>
    <w:p>
      <w:pPr>
        <w:pStyle w:val="Heading1"/>
      </w:pPr>
      <w:r>
        <w:rPr>
          <w:color w:val="2E75B6"/>
        </w:rPr>
        <w:t>References</w:t>
      </w:r>
    </w:p>
    <w:p>
      <w:pPr>
        <w:pStyle w:val="ListBullet"/>
      </w:pPr>
      <w:r>
        <w:t>University IT Strategic Plan 2024-2027</w:t>
      </w:r>
    </w:p>
    <w:p>
      <w:pPr>
        <w:pStyle w:val="ListBullet"/>
      </w:pPr>
      <w:r>
        <w:t>Competitor Analysis: Student Portal Benchmarking Report</w:t>
      </w:r>
    </w:p>
    <w:p>
      <w:pPr>
        <w:spacing w:after="40"/>
      </w:pPr>
    </w:p>
    <w:p>
      <w:pPr>
        <w:pStyle w:val="Heading1"/>
      </w:pPr>
      <w:r>
        <w:rPr>
          <w:color w:val="2E75B6"/>
        </w:rPr>
        <w:t>Stakeholders</w:t>
      </w:r>
    </w:p>
    <w:p>
      <w:pPr>
        <w:pStyle w:val="Heading2"/>
      </w:pPr>
      <w:r>
        <w:rPr>
          <w:color w:val="404040"/>
        </w:rPr>
        <w:t>Prof. Nasser Al-Ghamdi</w:t>
      </w:r>
    </w:p>
    <w:p>
      <w:pPr>
        <w:spacing w:before="0" w:after="20"/>
        <w:ind w:left="360"/>
      </w:pPr>
      <w:r>
        <w:rPr>
          <w:b/>
        </w:rPr>
        <w:t xml:space="preserve">Role: </w:t>
      </w:r>
      <w:r>
        <w:t>Dean of Student Affairs</w:t>
      </w:r>
    </w:p>
    <w:p>
      <w:pPr>
        <w:spacing w:before="0" w:after="160"/>
      </w:pPr>
    </w:p>
    <w:p>
      <w:pPr>
        <w:pStyle w:val="Heading2"/>
      </w:pPr>
      <w:r>
        <w:rPr>
          <w:color w:val="404040"/>
        </w:rPr>
        <w:t>Lina Saleh</w:t>
      </w:r>
    </w:p>
    <w:p>
      <w:pPr>
        <w:spacing w:before="0" w:after="20"/>
        <w:ind w:left="360"/>
      </w:pPr>
      <w:r>
        <w:rPr>
          <w:b/>
        </w:rPr>
        <w:t xml:space="preserve">Role: </w:t>
      </w:r>
      <w:r>
        <w:t>IT Director</w:t>
      </w:r>
    </w:p>
    <w:p>
      <w:pPr>
        <w:spacing w:before="0" w:after="20"/>
        <w:ind w:left="360"/>
      </w:pPr>
      <w:r>
        <w:rPr>
          <w:b/>
        </w:rPr>
        <w:t xml:space="preserve">Responsibility: </w:t>
      </w:r>
      <w:r>
        <w:t>Technical lead and infrastructure oversight</w:t>
      </w:r>
    </w:p>
    <w:p>
      <w:pPr>
        <w:spacing w:before="0" w:after="160"/>
      </w:pPr>
    </w:p>
    <w:p>
      <w:pPr>
        <w:pStyle w:val="Heading2"/>
      </w:pPr>
      <w:r>
        <w:rPr>
          <w:color w:val="404040"/>
        </w:rPr>
        <w:t>Tariq Mohammed</w:t>
      </w:r>
    </w:p>
    <w:p>
      <w:pPr>
        <w:spacing w:before="0" w:after="20"/>
        <w:ind w:left="360"/>
      </w:pPr>
      <w:r>
        <w:rPr>
          <w:b/>
        </w:rPr>
        <w:t xml:space="preserve">Role: </w:t>
      </w:r>
      <w:r>
        <w:t>Business Analyst</w:t>
      </w:r>
    </w:p>
    <w:p>
      <w:pPr>
        <w:spacing w:before="0" w:after="160"/>
      </w:pPr>
    </w:p>
    <w:p>
      <w:pPr>
        <w:pStyle w:val="Heading2"/>
      </w:pPr>
      <w:r>
        <w:rPr>
          <w:color w:val="404040"/>
        </w:rPr>
        <w:t>Student Council Representative</w:t>
      </w:r>
    </w:p>
    <w:p>
      <w:pPr>
        <w:spacing w:before="0" w:after="20"/>
        <w:ind w:left="360"/>
      </w:pPr>
      <w:r>
        <w:rPr>
          <w:b/>
        </w:rPr>
        <w:t xml:space="preserve">Role: </w:t>
      </w:r>
      <w:r>
        <w:t>End User</w:t>
      </w:r>
    </w:p>
    <w:p>
      <w:pPr>
        <w:spacing w:before="0" w:after="160"/>
      </w:pPr>
    </w:p>
    <w:p>
      <w:pPr>
        <w:spacing w:after="40"/>
      </w:pPr>
    </w:p>
    <w:p>
      <w:pPr>
        <w:pStyle w:val="Heading1"/>
      </w:pPr>
      <w:r>
        <w:rPr>
          <w:color w:val="2E75B6"/>
        </w:rPr>
        <w:t>Project Scope</w:t>
      </w:r>
    </w:p>
    <w:p>
      <w:pPr>
        <w:pStyle w:val="Heading2"/>
      </w:pPr>
      <w:r>
        <w:rPr>
          <w:color w:val="404040"/>
        </w:rPr>
        <w:t>In Scope</w:t>
      </w:r>
    </w:p>
    <w:p>
      <w:pPr>
        <w:pStyle w:val="ListBullet"/>
      </w:pPr>
      <w:r>
        <w:t>Course registration and withdrawal module</w:t>
      </w:r>
    </w:p>
    <w:p>
      <w:pPr>
        <w:pStyle w:val="ListBullet"/>
      </w:pPr>
      <w:r>
        <w:t>Grade viewing and transcript requests</w:t>
      </w:r>
    </w:p>
    <w:p>
      <w:pPr>
        <w:pStyle w:val="ListBullet"/>
      </w:pPr>
      <w:r>
        <w:t>Fee payment integration with university finance system</w:t>
      </w:r>
    </w:p>
    <w:p>
      <w:pPr>
        <w:pStyle w:val="ListBullet"/>
      </w:pPr>
      <w:r>
        <w:t>Student document upload and verification</w:t>
      </w:r>
    </w:p>
    <w:p>
      <w:pPr>
        <w:pStyle w:val="Heading2"/>
      </w:pPr>
      <w:r>
        <w:rPr>
          <w:color w:val="404040"/>
        </w:rPr>
        <w:t>Assumptions</w:t>
      </w:r>
    </w:p>
    <w:p>
      <w:pPr>
        <w:pStyle w:val="ListBullet"/>
      </w:pPr>
      <w:r>
        <w:t>Students have access to internet-connected devices</w:t>
      </w:r>
    </w:p>
    <w:p>
      <w:pPr>
        <w:pStyle w:val="ListBullet"/>
      </w:pPr>
      <w:r>
        <w:t>Integration APIs with existing ERP are available and documented</w:t>
      </w:r>
    </w:p>
    <w:p>
      <w:pPr>
        <w:pStyle w:val="Heading2"/>
      </w:pPr>
      <w:r>
        <w:rPr>
          <w:color w:val="404040"/>
        </w:rPr>
        <w:t>Constraints</w:t>
      </w:r>
    </w:p>
    <w:p>
      <w:pPr>
        <w:pStyle w:val="ListBullet"/>
      </w:pPr>
      <w:r>
        <w:t>Must integrate with existing Banner ERP system</w:t>
      </w:r>
    </w:p>
    <w:p>
      <w:pPr>
        <w:pStyle w:val="ListBullet"/>
      </w:pPr>
      <w:r>
        <w:t>Go-live deadline fixed at start of Fall 2026 semester</w:t>
      </w:r>
    </w:p>
    <w:p>
      <w:pPr>
        <w:pStyle w:val="Heading2"/>
      </w:pPr>
      <w:r>
        <w:rPr>
          <w:color w:val="404040"/>
        </w:rPr>
        <w:t>Out Of Scope</w:t>
      </w:r>
    </w:p>
    <w:p>
      <w:pPr>
        <w:pStyle w:val="ListBullet"/>
      </w:pPr>
      <w:r>
        <w:t>Faculty portal features</w:t>
      </w:r>
    </w:p>
    <w:p>
      <w:pPr>
        <w:pStyle w:val="ListBullet"/>
      </w:pPr>
      <w:r>
        <w:t>Alumni management module</w:t>
      </w:r>
    </w:p>
    <w:p>
      <w:pPr>
        <w:spacing w:after="40"/>
      </w:pPr>
    </w:p>
    <w:p>
      <w:pPr>
        <w:pStyle w:val="Heading1"/>
      </w:pPr>
      <w:r>
        <w:rPr>
          <w:color w:val="2E75B6"/>
        </w:rPr>
        <w:t>Risk Analysis</w:t>
      </w:r>
    </w:p>
    <w:p>
      <w:pPr>
        <w:pStyle w:val="Heading2"/>
      </w:pPr>
      <w:r>
        <w:rPr>
          <w:color w:val="404040"/>
        </w:rPr>
        <w:t>ERP integration failure during peak registration period</w:t>
      </w:r>
    </w:p>
    <w:p>
      <w:pPr>
        <w:spacing w:before="0" w:after="20"/>
        <w:ind w:left="360"/>
      </w:pPr>
      <w:r>
        <w:rPr>
          <w:b/>
        </w:rPr>
        <w:t xml:space="preserve">Impact: </w:t>
      </w:r>
      <w:r>
        <w:t>High</w:t>
      </w:r>
    </w:p>
    <w:p>
      <w:pPr>
        <w:spacing w:before="0" w:after="20"/>
        <w:ind w:left="360"/>
      </w:pPr>
      <w:r>
        <w:rPr>
          <w:b/>
        </w:rPr>
        <w:t xml:space="preserve">Likelihood: </w:t>
      </w:r>
      <w:r>
        <w:t>Medium</w:t>
      </w:r>
    </w:p>
    <w:p>
      <w:pPr>
        <w:spacing w:before="0" w:after="20"/>
        <w:ind w:left="360"/>
      </w:pPr>
      <w:r>
        <w:rPr>
          <w:b/>
        </w:rPr>
        <w:t xml:space="preserve">Mitigation: </w:t>
      </w:r>
      <w:r>
        <w:t>Conduct integration testing at least 2 months before go-live</w:t>
      </w:r>
    </w:p>
    <w:p>
      <w:pPr>
        <w:spacing w:before="0" w:after="160"/>
      </w:pPr>
    </w:p>
    <w:p>
      <w:pPr>
        <w:pStyle w:val="Heading2"/>
      </w:pPr>
      <w:r>
        <w:rPr>
          <w:color w:val="404040"/>
        </w:rPr>
        <w:t>Low student adoption of new portal</w:t>
      </w:r>
    </w:p>
    <w:p>
      <w:pPr>
        <w:spacing w:before="0" w:after="20"/>
        <w:ind w:left="360"/>
      </w:pPr>
      <w:r>
        <w:rPr>
          <w:b/>
        </w:rPr>
        <w:t xml:space="preserve">Impact: </w:t>
      </w:r>
      <w:r>
        <w:t>Medium</w:t>
      </w:r>
    </w:p>
    <w:p>
      <w:pPr>
        <w:spacing w:before="0" w:after="20"/>
        <w:ind w:left="360"/>
      </w:pPr>
      <w:r>
        <w:rPr>
          <w:b/>
        </w:rPr>
        <w:t xml:space="preserve">Likelihood: </w:t>
      </w:r>
      <w:r>
        <w:t>Medium</w:t>
      </w:r>
    </w:p>
    <w:p>
      <w:pPr>
        <w:spacing w:before="0" w:after="20"/>
        <w:ind w:left="360"/>
      </w:pPr>
      <w:r>
        <w:rPr>
          <w:b/>
        </w:rPr>
        <w:t xml:space="preserve">Mitigation: </w:t>
      </w:r>
      <w:r>
        <w:t>Run awareness campaigns and provide tutorial videos</w:t>
      </w:r>
    </w:p>
    <w:p>
      <w:pPr>
        <w:spacing w:before="0" w:after="160"/>
      </w:pPr>
    </w:p>
    <w:p>
      <w:pPr>
        <w:pStyle w:val="Heading2"/>
      </w:pPr>
      <w:r>
        <w:rPr>
          <w:color w:val="404040"/>
        </w:rPr>
        <w:t>Data privacy breach of student academic records</w:t>
      </w:r>
    </w:p>
    <w:p>
      <w:pPr>
        <w:spacing w:before="0" w:after="20"/>
        <w:ind w:left="360"/>
      </w:pPr>
      <w:r>
        <w:rPr>
          <w:b/>
        </w:rPr>
        <w:t xml:space="preserve">Impact: </w:t>
      </w:r>
      <w:r>
        <w:t>High</w:t>
      </w:r>
    </w:p>
    <w:p>
      <w:pPr>
        <w:spacing w:before="0" w:after="20"/>
        <w:ind w:left="360"/>
      </w:pPr>
      <w:r>
        <w:rPr>
          <w:b/>
        </w:rPr>
        <w:t xml:space="preserve">Likelihood: </w:t>
      </w:r>
      <w:r>
        <w:t>Low</w:t>
      </w:r>
    </w:p>
    <w:p>
      <w:pPr>
        <w:spacing w:before="0" w:after="20"/>
        <w:ind w:left="360"/>
      </w:pPr>
      <w:r>
        <w:rPr>
          <w:b/>
        </w:rPr>
        <w:t xml:space="preserve">Mitigation: </w:t>
      </w:r>
      <w:r>
        <w:t>Penetration testing and third-party security audit before launch</w:t>
      </w:r>
    </w:p>
    <w:p>
      <w:pPr>
        <w:spacing w:before="0" w:after="160"/>
      </w:pPr>
    </w:p>
    <w:p>
      <w:pPr>
        <w:spacing w:after="40"/>
      </w:pPr>
    </w:p>
    <w:p>
      <w:pPr>
        <w:pStyle w:val="Heading1"/>
      </w:pPr>
      <w:r>
        <w:rPr>
          <w:color w:val="2E75B6"/>
        </w:rPr>
        <w:t>Current Process</w:t>
      </w:r>
    </w:p>
    <w:p>
      <w:pPr>
        <w:pStyle w:val="Heading2"/>
      </w:pPr>
      <w:r>
        <w:rPr>
          <w:color w:val="404040"/>
        </w:rPr>
        <w:t>Overview</w:t>
      </w:r>
    </w:p>
    <w:p>
      <w:pPr>
        <w:spacing w:after="120"/>
      </w:pPr>
      <w:r>
        <w:t>Students shall visit physical offices for the majority of administrative tasks, including registration, transcript requests, and fee payments. The primary objective is to provide students with a dedicated space for completing these essential activities, ensuring seamless interactions with administrative staff.</w:t>
      </w:r>
    </w:p>
    <w:p>
      <w:pPr>
        <w:spacing w:after="40"/>
      </w:pPr>
    </w:p>
    <w:p>
      <w:pPr>
        <w:pStyle w:val="Heading1"/>
      </w:pPr>
      <w:r>
        <w:rPr>
          <w:color w:val="2E75B6"/>
        </w:rPr>
        <w:t>Business Drivers</w:t>
      </w:r>
    </w:p>
    <w:p>
      <w:pPr>
        <w:pStyle w:val="Heading2"/>
      </w:pPr>
      <w:r>
        <w:rPr>
          <w:color w:val="404040"/>
        </w:rPr>
        <w:t>Need For Change</w:t>
      </w:r>
    </w:p>
    <w:p>
      <w:pPr>
        <w:spacing w:after="120"/>
      </w:pPr>
      <w:r>
        <w:t>The absence of digital services that cater to student expectations has led to a significant gap between the university's manual and office-dependent processes. Student expectations for seamless, user-friendly, and efficient digital interactions have grown substantially, necessitating a fundamental transformation of the university's administrative infrastructure. The current reliance on manual processes and office-based systems has resulted in inefficiencies, delays, and increased costs, ultimately impacting student satisfaction and overall experience.</w:t>
      </w:r>
    </w:p>
    <w:p>
      <w:pPr>
        <w:spacing w:after="40"/>
      </w:pPr>
    </w:p>
    <w:p>
      <w:pPr>
        <w:pStyle w:val="Heading1"/>
      </w:pPr>
      <w:r>
        <w:rPr>
          <w:color w:val="2E75B6"/>
        </w:rPr>
        <w:t>Document Control</w:t>
      </w:r>
    </w:p>
    <w:p>
      <w:pPr>
        <w:pStyle w:val="Heading2"/>
      </w:pPr>
      <w:r>
        <w:rPr>
          <w:color w:val="404040"/>
        </w:rPr>
        <w:t>Authors</w:t>
      </w:r>
    </w:p>
    <w:p>
      <w:pPr>
        <w:pStyle w:val="ListBullet"/>
      </w:pPr>
      <w:r>
        <w:t>Lina Saleh</w:t>
      </w:r>
    </w:p>
    <w:p>
      <w:pPr>
        <w:pStyle w:val="ListBullet"/>
      </w:pPr>
      <w:r>
        <w:t>Tariq Mohammed</w:t>
      </w:r>
    </w:p>
    <w:p>
      <w:pPr>
        <w:pStyle w:val="Heading2"/>
      </w:pPr>
      <w:r>
        <w:rPr>
          <w:color w:val="404040"/>
        </w:rPr>
        <w:t>Approval</w:t>
      </w:r>
    </w:p>
    <w:p>
      <w:pPr>
        <w:spacing w:after="60"/>
        <w:ind w:left="360"/>
      </w:pPr>
      <w:r>
        <w:t>Date: 2026-03-10  |  Name: Prof. Nasser Al-Ghamdi  |  Role: Dean  |  Status: Approved</w:t>
      </w:r>
    </w:p>
    <w:p>
      <w:pPr>
        <w:pStyle w:val="Heading2"/>
      </w:pPr>
      <w:r>
        <w:rPr>
          <w:color w:val="404040"/>
        </w:rPr>
        <w:t>Version History</w:t>
      </w:r>
    </w:p>
    <w:p>
      <w:pPr>
        <w:spacing w:after="60"/>
        <w:ind w:left="360"/>
      </w:pPr>
      <w:r>
        <w:t>Date: 2026-01-15  |  Changes: Initial draft version 1.0</w:t>
      </w:r>
    </w:p>
    <w:p>
      <w:pPr>
        <w:spacing w:after="60"/>
        <w:ind w:left="360"/>
      </w:pPr>
      <w:r>
        <w:t>Date: 2026-02-01  |  Changes: Version 1.1 - added payment integration requirements</w:t>
      </w:r>
    </w:p>
    <w:p>
      <w:pPr>
        <w:spacing w:after="60"/>
        <w:ind w:left="360"/>
      </w:pPr>
      <w:r>
        <w:t>Date: 2026-03-08  |  Changes: Version 2.0 - final after dean review</w:t>
      </w:r>
    </w:p>
    <w:p>
      <w:pPr>
        <w:spacing w:after="40"/>
      </w:pPr>
    </w:p>
    <w:p>
      <w:pPr>
        <w:pStyle w:val="Heading1"/>
      </w:pPr>
      <w:r>
        <w:rPr>
          <w:color w:val="2E75B6"/>
        </w:rPr>
        <w:t>Executive Summary</w:t>
      </w:r>
    </w:p>
    <w:p>
      <w:pPr>
        <w:pStyle w:val="Heading2"/>
      </w:pPr>
      <w:r>
        <w:rPr>
          <w:color w:val="404040"/>
        </w:rPr>
        <w:t>Problem</w:t>
      </w:r>
    </w:p>
    <w:p>
      <w:pPr>
        <w:spacing w:after="120"/>
      </w:pPr>
      <w:r>
        <w:t>Students lack a unified digital platform for academic and administrative self-service, resulting in high operational costs and poor student experience. The absence of a centralized platform has led to inefficient processes, causing delays and increased workload for administrative staff. This situation necessitates the development of a comprehensive digital solution that streamlines academic and administrative tasks, enhancing the overall student experience while reducing operational expenses.</w:t>
      </w:r>
    </w:p>
    <w:p>
      <w:pPr>
        <w:pStyle w:val="Heading2"/>
      </w:pPr>
      <w:r>
        <w:rPr>
          <w:color w:val="404040"/>
        </w:rPr>
        <w:t>Proposed Solution</w:t>
      </w:r>
    </w:p>
    <w:p>
      <w:pPr>
        <w:spacing w:after="120"/>
      </w:pPr>
      <w:r>
        <w:t>The proposed solution is a comprehensive student self-service portal that integrates course management, financial services, and document processing. The portal shall provide students with a single point of access to manage their academic and financial affairs, including course registration, payment plans, and document submission. The system shall be designed to accommodate multiple user roles, including students, advisors, and administrators, each with tailored functionality and authorization levels. A high-priority requirement mandates that the portal sustain a minimum of 500 concurrent user sessions without measurable degradation in response time, as defined by a maximum threshold of 2 seconds per transaction under full load. The system shall support multiple browsers and devices, ensuring seamless access to the portal across various platforms.</w:t>
      </w:r>
    </w:p>
    <w:p>
      <w:pPr>
        <w:pStyle w:val="Heading2"/>
      </w:pPr>
      <w:r>
        <w:rPr>
          <w:color w:val="404040"/>
        </w:rPr>
        <w:t>Company Description</w:t>
      </w:r>
    </w:p>
    <w:p>
      <w:pPr>
        <w:spacing w:after="120"/>
      </w:pPr>
      <w:r>
        <w:t>The university is a mid-sized private institution with approximately 12,000 enrolled students, operating independently of government control and funding. The student body comprises individuals from diverse backgrounds, cultures, and academic disciplines, necessitating a comprehensive understanding of their needs and expectations to inform the development of relevant solutions.</w:t>
      </w:r>
    </w:p>
    <w:p>
      <w:pPr>
        <w:spacing w:after="40"/>
      </w:pPr>
    </w:p>
    <w:p>
      <w:pPr>
        <w:pStyle w:val="Heading1"/>
      </w:pPr>
      <w:r>
        <w:rPr>
          <w:color w:val="2E75B6"/>
        </w:rPr>
        <w:t>Functional Requirements</w:t>
      </w:r>
    </w:p>
    <w:p>
      <w:pPr>
        <w:pStyle w:val="Heading2"/>
      </w:pPr>
      <w:r>
        <w:rPr>
          <w:color w:val="404040"/>
        </w:rPr>
        <w:t>Students can register for courses within defined registration windows</w:t>
      </w:r>
    </w:p>
    <w:p>
      <w:pPr>
        <w:spacing w:before="0" w:after="20"/>
        <w:ind w:left="360"/>
      </w:pPr>
      <w:r>
        <w:rPr>
          <w:b/>
        </w:rPr>
        <w:t xml:space="preserve">Priority: </w:t>
      </w:r>
      <w:r>
        <w:t>High</w:t>
      </w:r>
    </w:p>
    <w:p>
      <w:pPr>
        <w:spacing w:before="0" w:after="160"/>
      </w:pPr>
    </w:p>
    <w:p>
      <w:pPr>
        <w:pStyle w:val="Heading2"/>
      </w:pPr>
      <w:r>
        <w:rPr>
          <w:color w:val="404040"/>
        </w:rPr>
        <w:t>System displays real-time seat availability per course section</w:t>
      </w:r>
    </w:p>
    <w:p>
      <w:pPr>
        <w:spacing w:before="0" w:after="20"/>
        <w:ind w:left="360"/>
      </w:pPr>
      <w:r>
        <w:rPr>
          <w:b/>
        </w:rPr>
        <w:t xml:space="preserve">Priority: </w:t>
      </w:r>
      <w:r>
        <w:t>High</w:t>
      </w:r>
    </w:p>
    <w:p>
      <w:pPr>
        <w:spacing w:before="0" w:after="160"/>
      </w:pPr>
    </w:p>
    <w:p>
      <w:pPr>
        <w:pStyle w:val="Heading2"/>
      </w:pPr>
      <w:r>
        <w:rPr>
          <w:color w:val="404040"/>
        </w:rPr>
        <w:t>Students can view and download official grade transcripts</w:t>
      </w:r>
    </w:p>
    <w:p>
      <w:pPr>
        <w:spacing w:before="0" w:after="20"/>
        <w:ind w:left="360"/>
      </w:pPr>
      <w:r>
        <w:rPr>
          <w:b/>
        </w:rPr>
        <w:t xml:space="preserve">Priority: </w:t>
      </w:r>
      <w:r>
        <w:t>High</w:t>
      </w:r>
    </w:p>
    <w:p>
      <w:pPr>
        <w:spacing w:before="0" w:after="160"/>
      </w:pPr>
    </w:p>
    <w:p>
      <w:pPr>
        <w:pStyle w:val="Heading2"/>
      </w:pPr>
      <w:r>
        <w:rPr>
          <w:color w:val="404040"/>
        </w:rPr>
        <w:t>Automated email notification upon successful registration or waitlist addition</w:t>
      </w:r>
    </w:p>
    <w:p>
      <w:pPr>
        <w:spacing w:before="0" w:after="20"/>
        <w:ind w:left="360"/>
      </w:pPr>
      <w:r>
        <w:rPr>
          <w:b/>
        </w:rPr>
        <w:t xml:space="preserve">Priority: </w:t>
      </w:r>
      <w:r>
        <w:t>Medium</w:t>
      </w:r>
    </w:p>
    <w:p>
      <w:pPr>
        <w:spacing w:before="0" w:after="160"/>
      </w:pPr>
    </w:p>
    <w:p>
      <w:pPr>
        <w:pStyle w:val="Heading2"/>
      </w:pPr>
      <w:r>
        <w:rPr>
          <w:color w:val="404040"/>
        </w:rPr>
        <w:t>Online fee payment supporting credit card and bank transfer</w:t>
      </w:r>
    </w:p>
    <w:p>
      <w:pPr>
        <w:spacing w:before="0" w:after="20"/>
        <w:ind w:left="360"/>
      </w:pPr>
      <w:r>
        <w:rPr>
          <w:b/>
        </w:rPr>
        <w:t xml:space="preserve">Priority: </w:t>
      </w:r>
      <w:r>
        <w:t>Medium</w:t>
      </w:r>
    </w:p>
    <w:p>
      <w:pPr>
        <w:spacing w:before="0" w:after="160"/>
      </w:pPr>
    </w:p>
    <w:p>
      <w:pPr>
        <w:pStyle w:val="Heading2"/>
      </w:pPr>
      <w:r>
        <w:rPr>
          <w:color w:val="404040"/>
        </w:rPr>
        <w:t>Academic advisor appointment booking through portal</w:t>
      </w:r>
    </w:p>
    <w:p>
      <w:pPr>
        <w:spacing w:before="0" w:after="20"/>
        <w:ind w:left="360"/>
      </w:pPr>
      <w:r>
        <w:rPr>
          <w:b/>
        </w:rPr>
        <w:t xml:space="preserve">Priority: </w:t>
      </w:r>
      <w:r>
        <w:t>Low</w:t>
      </w:r>
    </w:p>
    <w:p>
      <w:pPr>
        <w:spacing w:before="0" w:after="160"/>
      </w:pPr>
    </w:p>
    <w:p>
      <w:pPr>
        <w:spacing w:after="40"/>
      </w:pPr>
    </w:p>
    <w:p>
      <w:pPr>
        <w:pStyle w:val="Heading1"/>
      </w:pPr>
      <w:r>
        <w:rPr>
          <w:color w:val="2E75B6"/>
        </w:rPr>
        <w:t>Non Functional Requirements</w:t>
      </w:r>
    </w:p>
    <w:p>
      <w:pPr>
        <w:pStyle w:val="Heading2"/>
      </w:pPr>
      <w:r>
        <w:rPr>
          <w:color w:val="404040"/>
        </w:rPr>
        <w:t>Security</w:t>
      </w:r>
    </w:p>
    <w:p>
      <w:pPr>
        <w:pStyle w:val="ListBullet"/>
      </w:pPr>
      <w:r>
        <w:t>Two-factor authentication for student login</w:t>
      </w:r>
    </w:p>
    <w:p>
      <w:pPr>
        <w:pStyle w:val="ListBullet"/>
      </w:pPr>
      <w:r>
        <w:t>Session timeout after 15 minutes of inactivity</w:t>
      </w:r>
    </w:p>
    <w:p>
      <w:pPr>
        <w:pStyle w:val="Heading2"/>
      </w:pPr>
      <w:r>
        <w:rPr>
          <w:color w:val="404040"/>
        </w:rPr>
        <w:t>Usability</w:t>
      </w:r>
    </w:p>
    <w:p>
      <w:pPr>
        <w:pStyle w:val="ListBullet"/>
      </w:pPr>
      <w:r>
        <w:t>Interface accessible on mobile browsers without dedicated app</w:t>
      </w:r>
    </w:p>
    <w:p>
      <w:pPr>
        <w:pStyle w:val="ListBullet"/>
      </w:pPr>
      <w:r>
        <w:t>Support for both Arabic and English language switching</w:t>
      </w:r>
    </w:p>
    <w:p>
      <w:pPr>
        <w:pStyle w:val="Heading2"/>
      </w:pPr>
      <w:r>
        <w:rPr>
          <w:color w:val="404040"/>
        </w:rPr>
        <w:t>Performance</w:t>
      </w:r>
    </w:p>
    <w:p>
      <w:pPr>
        <w:pStyle w:val="ListBullet"/>
      </w:pPr>
      <w:r>
        <w:t>System handles 3000 concurrent users during peak registration without slowdown</w:t>
      </w:r>
    </w:p>
    <w:p>
      <w:pPr>
        <w:spacing w:after="40"/>
      </w:pP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