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800"/>
        <w:tblGridChange w:id="0">
          <w:tblGrid>
            <w:gridCol w:w="5715"/>
            <w:gridCol w:w="180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Project Summary</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SystemC-Based Design and Simulation of a Network-on-Chip (NoC)</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February 23,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February 24,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This project creates and designs, with SystemC, a Network-on-Chip (NoC) architecture. NoC is a form of on-chip communications. NoC interconnects multiple processing elements, memories, and hardware accelerators in modern Systems-on-Chip (SoCs). A NoC which consists of source, sink, and router modules will be simulated and verified. The project will study a provided 1x2 mesh, which has packet generation, routing, arbitration, and data transfer between IP cores. The structure for the packet will be header and payload flits, as well as event/clock driven communication between modules. </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Based on the given 1x2 mesh, the task is to create a further advanced 4x4 mesh. Source and a sink modules will be implemented into each node, which is connected through routers. Uniform and neighboring communication patterns will be generated in order to test the proper execution of the NoC. Packet delay and throughput will be measured in tests by recording transmission and reception times with only SystemC and no hardware platforms. The NoC will be observed through waveform traces and simulation output, and will prove key concepts for SoC and NoC in communication, routing, and modeling. </w:t>
      </w: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drawing>
        <wp:inline distB="114300" distT="114300" distL="114300" distR="114300">
          <wp:extent cx="2390585" cy="10135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torontomu.ca/senate/policies/pol60.pdf"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