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b w:val="1"/>
          <w:bCs w:val="1"/>
          <w:rtl w:val="0"/>
        </w:rPr>
        <w:t xml:space="preserve">Faculty of Engineering, Architecture and Science</w:t>
      </w:r>
    </w:p>
    <w:p w:rsidR="00000000" w:rsidDel="00000000" w:rsidP="00000000" w:rsidRDefault="00000000" w:rsidRPr="00000000" w14:paraId="00000002">
      <w:pPr>
        <w:jc w:val="center"/>
        <w:rPr>
          <w:b w:val="1"/>
          <w:bCs w:val="1"/>
        </w:rPr>
      </w:pPr>
      <w:r w:rsidDel="00000000" w:rsidR="00000000" w:rsidRPr="00000000">
        <w:rPr>
          <w:b w:val="1"/>
          <w:bCs w:val="1"/>
          <w:rtl w:val="0"/>
        </w:rPr>
        <w:t xml:space="preserve">Department of Mechanical, Industrial, and Mechatronics Engineering</w:t>
      </w:r>
    </w:p>
    <w:p w:rsidR="00000000" w:rsidDel="00000000" w:rsidP="00000000" w:rsidRDefault="00000000" w:rsidRPr="00000000" w14:paraId="00000003">
      <w:pPr>
        <w:rPr>
          <w:b w:val="1"/>
          <w:bCs w:val="1"/>
        </w:rPr>
      </w:pPr>
      <w:r w:rsidDel="00000000" w:rsidR="00000000" w:rsidRPr="00000000">
        <w:rPr>
          <w:rtl w:val="0"/>
        </w:rPr>
      </w:r>
    </w:p>
    <w:tbl>
      <w:tblPr>
        <w:tblStyle w:val="Table1"/>
        <w:tblW w:w="751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70"/>
        <w:gridCol w:w="3945"/>
        <w:tblGridChange w:id="0">
          <w:tblGrid>
            <w:gridCol w:w="3570"/>
            <w:gridCol w:w="3945"/>
          </w:tblGrid>
        </w:tblGridChange>
      </w:tblGrid>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04">
            <w:pPr>
              <w:widowControl w:val="0"/>
              <w:spacing w:line="240" w:lineRule="auto"/>
              <w:jc w:val="center"/>
              <w:rPr>
                <w:sz w:val="28"/>
                <w:szCs w:val="28"/>
              </w:rPr>
            </w:pPr>
            <w:r w:rsidDel="00000000" w:rsidR="00000000" w:rsidRPr="00000000">
              <w:rPr>
                <w:sz w:val="28"/>
                <w:szCs w:val="28"/>
                <w:rtl w:val="0"/>
              </w:rPr>
              <w:t xml:space="preserve">Program</w:t>
            </w:r>
          </w:p>
        </w:tc>
        <w:tc>
          <w:tcPr>
            <w:shd w:fill="auto" w:val="clear"/>
            <w:tcMar>
              <w:top w:w="-44.64" w:type="dxa"/>
              <w:left w:w="-44.64" w:type="dxa"/>
              <w:bottom w:w="-44.64" w:type="dxa"/>
              <w:right w:w="-44.64" w:type="dxa"/>
            </w:tcMar>
            <w:vAlign w:val="top"/>
          </w:tcPr>
          <w:p w:rsidR="00000000" w:rsidDel="00000000" w:rsidP="00000000" w:rsidRDefault="00000000" w:rsidRPr="00000000" w14:paraId="00000005">
            <w:pPr>
              <w:widowControl w:val="0"/>
              <w:spacing w:line="240" w:lineRule="auto"/>
              <w:jc w:val="center"/>
              <w:rPr>
                <w:b w:val="1"/>
                <w:bCs w:val="1"/>
                <w:sz w:val="28"/>
                <w:szCs w:val="28"/>
              </w:rPr>
            </w:pPr>
            <w:r w:rsidDel="00000000" w:rsidR="00000000" w:rsidRPr="00000000">
              <w:rPr>
                <w:b w:val="1"/>
                <w:bCs w:val="1"/>
                <w:sz w:val="28"/>
                <w:szCs w:val="28"/>
                <w:rtl w:val="0"/>
              </w:rPr>
              <w:t xml:space="preserve">Electrical Engineering</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06">
            <w:pPr>
              <w:widowControl w:val="0"/>
              <w:spacing w:line="240" w:lineRule="auto"/>
              <w:jc w:val="center"/>
              <w:rPr>
                <w:sz w:val="28"/>
                <w:szCs w:val="28"/>
              </w:rPr>
            </w:pPr>
            <w:r w:rsidDel="00000000" w:rsidR="00000000" w:rsidRPr="00000000">
              <w:rPr>
                <w:sz w:val="28"/>
                <w:szCs w:val="28"/>
                <w:rtl w:val="0"/>
              </w:rPr>
              <w:t xml:space="preserve">Course Number</w:t>
            </w:r>
          </w:p>
        </w:tc>
        <w:tc>
          <w:tcPr>
            <w:shd w:fill="auto" w:val="clear"/>
            <w:tcMar>
              <w:top w:w="-44.64" w:type="dxa"/>
              <w:left w:w="-44.64" w:type="dxa"/>
              <w:bottom w:w="-44.64" w:type="dxa"/>
              <w:right w:w="-44.64" w:type="dxa"/>
            </w:tcMar>
            <w:vAlign w:val="top"/>
          </w:tcPr>
          <w:p w:rsidR="00000000" w:rsidDel="00000000" w:rsidP="00000000" w:rsidRDefault="00000000" w:rsidRPr="00000000" w14:paraId="00000007">
            <w:pPr>
              <w:widowControl w:val="0"/>
              <w:spacing w:line="240" w:lineRule="auto"/>
              <w:jc w:val="center"/>
              <w:rPr>
                <w:b w:val="1"/>
                <w:bCs w:val="1"/>
                <w:sz w:val="28"/>
                <w:szCs w:val="28"/>
              </w:rPr>
            </w:pPr>
            <w:r w:rsidDel="00000000" w:rsidR="00000000" w:rsidRPr="00000000">
              <w:rPr>
                <w:b w:val="1"/>
                <w:bCs w:val="1"/>
                <w:sz w:val="28"/>
                <w:szCs w:val="28"/>
                <w:rtl w:val="0"/>
              </w:rPr>
              <w:t xml:space="preserve">ELE746</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08">
            <w:pPr>
              <w:widowControl w:val="0"/>
              <w:spacing w:line="240" w:lineRule="auto"/>
              <w:jc w:val="center"/>
              <w:rPr>
                <w:sz w:val="28"/>
                <w:szCs w:val="28"/>
              </w:rPr>
            </w:pPr>
            <w:r w:rsidDel="00000000" w:rsidR="00000000" w:rsidRPr="00000000">
              <w:rPr>
                <w:sz w:val="28"/>
                <w:szCs w:val="28"/>
                <w:rtl w:val="0"/>
              </w:rPr>
              <w:t xml:space="preserve">Course Title</w:t>
            </w:r>
          </w:p>
        </w:tc>
        <w:tc>
          <w:tcPr>
            <w:shd w:fill="auto" w:val="clear"/>
            <w:tcMar>
              <w:top w:w="-44.64" w:type="dxa"/>
              <w:left w:w="-44.64" w:type="dxa"/>
              <w:bottom w:w="-44.64" w:type="dxa"/>
              <w:right w:w="-44.64" w:type="dxa"/>
            </w:tcMar>
            <w:vAlign w:val="top"/>
          </w:tcPr>
          <w:p w:rsidR="00000000" w:rsidDel="00000000" w:rsidP="00000000" w:rsidRDefault="00000000" w:rsidRPr="00000000" w14:paraId="00000009">
            <w:pPr>
              <w:widowControl w:val="0"/>
              <w:spacing w:line="240" w:lineRule="auto"/>
              <w:jc w:val="center"/>
              <w:rPr>
                <w:b w:val="1"/>
                <w:bCs w:val="1"/>
                <w:sz w:val="28"/>
                <w:szCs w:val="28"/>
              </w:rPr>
            </w:pPr>
            <w:r w:rsidDel="00000000" w:rsidR="00000000" w:rsidRPr="00000000">
              <w:rPr>
                <w:b w:val="1"/>
                <w:bCs w:val="1"/>
                <w:sz w:val="28"/>
                <w:szCs w:val="28"/>
                <w:rtl w:val="0"/>
              </w:rPr>
              <w:t xml:space="preserve">Power Systems Analysis</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0A">
            <w:pPr>
              <w:widowControl w:val="0"/>
              <w:spacing w:line="240" w:lineRule="auto"/>
              <w:jc w:val="center"/>
              <w:rPr>
                <w:sz w:val="28"/>
                <w:szCs w:val="28"/>
              </w:rPr>
            </w:pPr>
            <w:r w:rsidDel="00000000" w:rsidR="00000000" w:rsidRPr="00000000">
              <w:rPr>
                <w:sz w:val="28"/>
                <w:szCs w:val="28"/>
                <w:rtl w:val="0"/>
              </w:rPr>
              <w:t xml:space="preserve">Semester/Year</w:t>
            </w:r>
          </w:p>
        </w:tc>
        <w:tc>
          <w:tcPr>
            <w:shd w:fill="auto" w:val="clear"/>
            <w:tcMar>
              <w:top w:w="-44.64" w:type="dxa"/>
              <w:left w:w="-44.64" w:type="dxa"/>
              <w:bottom w:w="-44.64" w:type="dxa"/>
              <w:right w:w="-44.64" w:type="dxa"/>
            </w:tcMar>
            <w:vAlign w:val="top"/>
          </w:tcPr>
          <w:p w:rsidR="00000000" w:rsidDel="00000000" w:rsidP="00000000" w:rsidRDefault="00000000" w:rsidRPr="00000000" w14:paraId="0000000B">
            <w:pPr>
              <w:widowControl w:val="0"/>
              <w:spacing w:line="240" w:lineRule="auto"/>
              <w:jc w:val="center"/>
              <w:rPr>
                <w:b w:val="1"/>
                <w:bCs w:val="1"/>
                <w:sz w:val="28"/>
                <w:szCs w:val="28"/>
              </w:rPr>
            </w:pPr>
            <w:r w:rsidDel="00000000" w:rsidR="00000000" w:rsidRPr="00000000">
              <w:rPr>
                <w:b w:val="1"/>
                <w:bCs w:val="1"/>
                <w:sz w:val="28"/>
                <w:szCs w:val="28"/>
                <w:rtl w:val="0"/>
              </w:rPr>
              <w:t xml:space="preserve">F2025</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0C">
            <w:pPr>
              <w:widowControl w:val="0"/>
              <w:spacing w:line="240" w:lineRule="auto"/>
              <w:jc w:val="center"/>
              <w:rPr>
                <w:sz w:val="28"/>
                <w:szCs w:val="28"/>
              </w:rPr>
            </w:pPr>
            <w:r w:rsidDel="00000000" w:rsidR="00000000" w:rsidRPr="00000000">
              <w:rPr>
                <w:sz w:val="28"/>
                <w:szCs w:val="28"/>
                <w:rtl w:val="0"/>
              </w:rPr>
              <w:t xml:space="preserve">Instructor</w:t>
            </w:r>
          </w:p>
        </w:tc>
        <w:tc>
          <w:tcPr>
            <w:shd w:fill="auto" w:val="clear"/>
            <w:tcMar>
              <w:top w:w="-44.64" w:type="dxa"/>
              <w:left w:w="-44.64" w:type="dxa"/>
              <w:bottom w:w="-44.64" w:type="dxa"/>
              <w:right w:w="-44.64" w:type="dxa"/>
            </w:tcMar>
            <w:vAlign w:val="top"/>
          </w:tcPr>
          <w:p w:rsidR="00000000" w:rsidDel="00000000" w:rsidP="00000000" w:rsidRDefault="00000000" w:rsidRPr="00000000" w14:paraId="0000000D">
            <w:pPr>
              <w:widowControl w:val="0"/>
              <w:spacing w:line="240" w:lineRule="auto"/>
              <w:jc w:val="center"/>
              <w:rPr>
                <w:b w:val="1"/>
                <w:bCs w:val="1"/>
                <w:sz w:val="28"/>
                <w:szCs w:val="28"/>
              </w:rPr>
            </w:pPr>
            <w:r w:rsidDel="00000000" w:rsidR="00000000" w:rsidRPr="00000000">
              <w:rPr>
                <w:b w:val="1"/>
                <w:bCs w:val="1"/>
                <w:sz w:val="28"/>
                <w:szCs w:val="28"/>
                <w:rtl w:val="0"/>
              </w:rPr>
              <w:t xml:space="preserve">Dr. Mohammadreza Arani</w:t>
            </w:r>
          </w:p>
        </w:tc>
      </w:tr>
    </w:tbl>
    <w:p w:rsidR="00000000" w:rsidDel="00000000" w:rsidP="00000000" w:rsidRDefault="00000000" w:rsidRPr="00000000" w14:paraId="0000000E">
      <w:pPr>
        <w:rPr>
          <w:b w:val="1"/>
          <w:bCs w:val="1"/>
          <w:sz w:val="30"/>
          <w:szCs w:val="30"/>
        </w:rPr>
      </w:pPr>
      <w:r w:rsidDel="00000000" w:rsidR="00000000" w:rsidRPr="00000000">
        <w:rPr>
          <w:rtl w:val="0"/>
        </w:rPr>
      </w:r>
    </w:p>
    <w:tbl>
      <w:tblPr>
        <w:tblStyle w:val="Table2"/>
        <w:tblW w:w="730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15"/>
        <w:gridCol w:w="1590"/>
        <w:tblGridChange w:id="0">
          <w:tblGrid>
            <w:gridCol w:w="5715"/>
            <w:gridCol w:w="1590"/>
          </w:tblGrid>
        </w:tblGridChange>
      </w:tblGrid>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0F">
            <w:pPr>
              <w:widowControl w:val="0"/>
              <w:spacing w:line="240" w:lineRule="auto"/>
              <w:jc w:val="center"/>
              <w:rPr>
                <w:b w:val="1"/>
                <w:bCs w:val="1"/>
                <w:sz w:val="36"/>
                <w:szCs w:val="36"/>
              </w:rPr>
            </w:pPr>
            <w:r w:rsidDel="00000000" w:rsidR="00000000" w:rsidRPr="00000000">
              <w:rPr>
                <w:b w:val="1"/>
                <w:bCs w:val="1"/>
                <w:sz w:val="36"/>
                <w:szCs w:val="36"/>
                <w:rtl w:val="0"/>
              </w:rPr>
              <w:t xml:space="preserve">Lab/Tutorial Report NO.</w:t>
            </w:r>
          </w:p>
        </w:tc>
        <w:tc>
          <w:tcPr>
            <w:shd w:fill="auto" w:val="clear"/>
            <w:tcMar>
              <w:top w:w="-44.64" w:type="dxa"/>
              <w:left w:w="-44.64" w:type="dxa"/>
              <w:bottom w:w="-44.64" w:type="dxa"/>
              <w:right w:w="-44.64" w:type="dxa"/>
            </w:tcMar>
            <w:vAlign w:val="top"/>
          </w:tcPr>
          <w:p w:rsidR="00000000" w:rsidDel="00000000" w:rsidP="00000000" w:rsidRDefault="00000000" w:rsidRPr="00000000" w14:paraId="00000010">
            <w:pPr>
              <w:widowControl w:val="0"/>
              <w:spacing w:line="240" w:lineRule="auto"/>
              <w:jc w:val="center"/>
              <w:rPr>
                <w:b w:val="1"/>
                <w:bCs w:val="1"/>
                <w:sz w:val="36"/>
                <w:szCs w:val="36"/>
              </w:rPr>
            </w:pPr>
            <w:r w:rsidDel="00000000" w:rsidR="00000000" w:rsidRPr="00000000">
              <w:rPr>
                <w:b w:val="1"/>
                <w:bCs w:val="1"/>
                <w:sz w:val="36"/>
                <w:szCs w:val="36"/>
                <w:rtl w:val="0"/>
              </w:rPr>
              <w:t xml:space="preserve">Lab #2</w:t>
            </w:r>
          </w:p>
        </w:tc>
      </w:tr>
    </w:tbl>
    <w:p w:rsidR="00000000" w:rsidDel="00000000" w:rsidP="00000000" w:rsidRDefault="00000000" w:rsidRPr="00000000" w14:paraId="00000011">
      <w:pPr>
        <w:rPr>
          <w:sz w:val="28"/>
          <w:szCs w:val="28"/>
        </w:rPr>
      </w:pPr>
      <w:r w:rsidDel="00000000" w:rsidR="00000000" w:rsidRPr="00000000">
        <w:rPr>
          <w:rtl w:val="0"/>
        </w:rPr>
      </w:r>
    </w:p>
    <w:tbl>
      <w:tblPr>
        <w:tblStyle w:val="Table3"/>
        <w:tblW w:w="738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35"/>
        <w:gridCol w:w="4845"/>
        <w:tblGridChange w:id="0">
          <w:tblGrid>
            <w:gridCol w:w="2535"/>
            <w:gridCol w:w="4845"/>
          </w:tblGrid>
        </w:tblGridChange>
      </w:tblGrid>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12">
            <w:pPr>
              <w:widowControl w:val="0"/>
              <w:spacing w:line="240" w:lineRule="auto"/>
              <w:jc w:val="center"/>
              <w:rPr>
                <w:sz w:val="28"/>
                <w:szCs w:val="28"/>
              </w:rPr>
            </w:pPr>
            <w:r w:rsidDel="00000000" w:rsidR="00000000" w:rsidRPr="00000000">
              <w:rPr>
                <w:sz w:val="28"/>
                <w:szCs w:val="28"/>
                <w:rtl w:val="0"/>
              </w:rPr>
              <w:t xml:space="preserve">Report Title</w:t>
            </w:r>
          </w:p>
        </w:tc>
        <w:tc>
          <w:tcPr>
            <w:shd w:fill="auto" w:val="clear"/>
            <w:tcMar>
              <w:top w:w="-44.64" w:type="dxa"/>
              <w:left w:w="-44.64" w:type="dxa"/>
              <w:bottom w:w="-44.64" w:type="dxa"/>
              <w:right w:w="-44.64" w:type="dxa"/>
            </w:tcMar>
            <w:vAlign w:val="top"/>
          </w:tcPr>
          <w:p w:rsidR="00000000" w:rsidDel="00000000" w:rsidP="00000000" w:rsidRDefault="00000000" w:rsidRPr="00000000" w14:paraId="00000013">
            <w:pPr>
              <w:widowControl w:val="0"/>
              <w:spacing w:line="240" w:lineRule="auto"/>
              <w:jc w:val="center"/>
              <w:rPr>
                <w:sz w:val="28"/>
                <w:szCs w:val="28"/>
              </w:rPr>
            </w:pPr>
            <w:r w:rsidDel="00000000" w:rsidR="00000000" w:rsidRPr="00000000">
              <w:rPr>
                <w:sz w:val="28"/>
                <w:szCs w:val="28"/>
                <w:rtl w:val="0"/>
              </w:rPr>
              <w:t xml:space="preserve">Project 2: Three-Phase Symmetrical Faults</w:t>
            </w:r>
          </w:p>
        </w:tc>
      </w:tr>
    </w:tbl>
    <w:p w:rsidR="00000000" w:rsidDel="00000000" w:rsidP="00000000" w:rsidRDefault="00000000" w:rsidRPr="00000000" w14:paraId="00000014">
      <w:pPr>
        <w:rPr>
          <w:sz w:val="28"/>
          <w:szCs w:val="28"/>
        </w:rPr>
      </w:pPr>
      <w:r w:rsidDel="00000000" w:rsidR="00000000" w:rsidRPr="00000000">
        <w:rPr>
          <w:rtl w:val="0"/>
        </w:rPr>
      </w:r>
    </w:p>
    <w:tbl>
      <w:tblPr>
        <w:tblStyle w:val="Table4"/>
        <w:tblW w:w="760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02.5"/>
        <w:gridCol w:w="3802.5"/>
        <w:tblGridChange w:id="0">
          <w:tblGrid>
            <w:gridCol w:w="3802.5"/>
            <w:gridCol w:w="3802.5"/>
          </w:tblGrid>
        </w:tblGridChange>
      </w:tblGrid>
      <w:tr>
        <w:trPr>
          <w:cantSplit w:val="0"/>
          <w:trHeight w:val="306.97265624999994" w:hRule="atLeast"/>
          <w:tblHeader w:val="0"/>
        </w:trPr>
        <w:tc>
          <w:tcPr>
            <w:shd w:fill="auto" w:val="clear"/>
            <w:tcMar>
              <w:top w:w="-476.64" w:type="dxa"/>
              <w:left w:w="-476.64" w:type="dxa"/>
              <w:bottom w:w="-476.64" w:type="dxa"/>
              <w:right w:w="-476.64" w:type="dxa"/>
            </w:tcMar>
            <w:vAlign w:val="top"/>
          </w:tcPr>
          <w:p w:rsidR="00000000" w:rsidDel="00000000" w:rsidP="00000000" w:rsidRDefault="00000000" w:rsidRPr="00000000" w14:paraId="00000015">
            <w:pPr>
              <w:widowControl w:val="0"/>
              <w:spacing w:line="240" w:lineRule="auto"/>
              <w:jc w:val="center"/>
              <w:rPr>
                <w:sz w:val="28"/>
                <w:szCs w:val="28"/>
              </w:rPr>
            </w:pPr>
            <w:r w:rsidDel="00000000" w:rsidR="00000000" w:rsidRPr="00000000">
              <w:rPr>
                <w:sz w:val="28"/>
                <w:szCs w:val="28"/>
                <w:rtl w:val="0"/>
              </w:rPr>
              <w:t xml:space="preserve">Section No.</w:t>
            </w:r>
          </w:p>
        </w:tc>
        <w:tc>
          <w:tcPr>
            <w:shd w:fill="auto" w:val="clear"/>
            <w:tcMar>
              <w:top w:w="-44.64" w:type="dxa"/>
              <w:left w:w="-44.64" w:type="dxa"/>
              <w:bottom w:w="-44.64" w:type="dxa"/>
              <w:right w:w="-44.64" w:type="dxa"/>
            </w:tcMar>
            <w:vAlign w:val="top"/>
          </w:tcPr>
          <w:p w:rsidR="00000000" w:rsidDel="00000000" w:rsidP="00000000" w:rsidRDefault="00000000" w:rsidRPr="00000000" w14:paraId="00000016">
            <w:pPr>
              <w:widowControl w:val="0"/>
              <w:spacing w:line="240" w:lineRule="auto"/>
              <w:jc w:val="center"/>
              <w:rPr>
                <w:sz w:val="28"/>
                <w:szCs w:val="28"/>
              </w:rPr>
            </w:pPr>
            <w:r w:rsidDel="00000000" w:rsidR="00000000" w:rsidRPr="00000000">
              <w:rPr>
                <w:sz w:val="28"/>
                <w:szCs w:val="28"/>
                <w:rtl w:val="0"/>
              </w:rPr>
              <w:t xml:space="preserve">02</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17">
            <w:pPr>
              <w:widowControl w:val="0"/>
              <w:spacing w:line="240" w:lineRule="auto"/>
              <w:jc w:val="center"/>
              <w:rPr>
                <w:sz w:val="28"/>
                <w:szCs w:val="28"/>
              </w:rPr>
            </w:pPr>
            <w:r w:rsidDel="00000000" w:rsidR="00000000" w:rsidRPr="00000000">
              <w:rPr>
                <w:sz w:val="28"/>
                <w:szCs w:val="28"/>
                <w:rtl w:val="0"/>
              </w:rPr>
              <w:t xml:space="preserve">Submission Date</w:t>
            </w:r>
          </w:p>
        </w:tc>
        <w:tc>
          <w:tcPr>
            <w:shd w:fill="auto" w:val="clear"/>
            <w:tcMar>
              <w:top w:w="-44.64" w:type="dxa"/>
              <w:left w:w="-44.64" w:type="dxa"/>
              <w:bottom w:w="-44.64" w:type="dxa"/>
              <w:right w:w="-44.64" w:type="dxa"/>
            </w:tcMar>
            <w:vAlign w:val="top"/>
          </w:tcPr>
          <w:p w:rsidR="00000000" w:rsidDel="00000000" w:rsidP="00000000" w:rsidRDefault="00000000" w:rsidRPr="00000000" w14:paraId="00000018">
            <w:pPr>
              <w:widowControl w:val="0"/>
              <w:spacing w:line="240" w:lineRule="auto"/>
              <w:jc w:val="center"/>
              <w:rPr>
                <w:sz w:val="28"/>
                <w:szCs w:val="28"/>
              </w:rPr>
            </w:pPr>
            <w:r w:rsidDel="00000000" w:rsidR="00000000" w:rsidRPr="00000000">
              <w:rPr>
                <w:sz w:val="28"/>
                <w:szCs w:val="28"/>
                <w:rtl w:val="0"/>
              </w:rPr>
              <w:t xml:space="preserve">November 21, 2025</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19">
            <w:pPr>
              <w:widowControl w:val="0"/>
              <w:spacing w:line="240" w:lineRule="auto"/>
              <w:jc w:val="center"/>
              <w:rPr>
                <w:sz w:val="28"/>
                <w:szCs w:val="28"/>
              </w:rPr>
            </w:pPr>
            <w:r w:rsidDel="00000000" w:rsidR="00000000" w:rsidRPr="00000000">
              <w:rPr>
                <w:sz w:val="28"/>
                <w:szCs w:val="28"/>
                <w:rtl w:val="0"/>
              </w:rPr>
              <w:t xml:space="preserve">Due Date</w:t>
            </w:r>
          </w:p>
        </w:tc>
        <w:tc>
          <w:tcPr>
            <w:shd w:fill="auto" w:val="clear"/>
            <w:tcMar>
              <w:top w:w="-44.64" w:type="dxa"/>
              <w:left w:w="-44.64" w:type="dxa"/>
              <w:bottom w:w="-44.64" w:type="dxa"/>
              <w:right w:w="-44.64" w:type="dxa"/>
            </w:tcMar>
            <w:vAlign w:val="top"/>
          </w:tcPr>
          <w:p w:rsidR="00000000" w:rsidDel="00000000" w:rsidP="00000000" w:rsidRDefault="00000000" w:rsidRPr="00000000" w14:paraId="0000001A">
            <w:pPr>
              <w:widowControl w:val="0"/>
              <w:spacing w:line="240" w:lineRule="auto"/>
              <w:jc w:val="center"/>
              <w:rPr>
                <w:sz w:val="28"/>
                <w:szCs w:val="28"/>
              </w:rPr>
            </w:pPr>
            <w:r w:rsidDel="00000000" w:rsidR="00000000" w:rsidRPr="00000000">
              <w:rPr>
                <w:sz w:val="28"/>
                <w:szCs w:val="28"/>
                <w:rtl w:val="0"/>
              </w:rPr>
              <w:t xml:space="preserve">November 21, 2025</w:t>
            </w:r>
          </w:p>
        </w:tc>
      </w:tr>
    </w:tbl>
    <w:p w:rsidR="00000000" w:rsidDel="00000000" w:rsidP="00000000" w:rsidRDefault="00000000" w:rsidRPr="00000000" w14:paraId="0000001B">
      <w:pPr>
        <w:jc w:val="center"/>
        <w:rPr>
          <w:sz w:val="28"/>
          <w:szCs w:val="28"/>
        </w:rPr>
      </w:pPr>
      <w:r w:rsidDel="00000000" w:rsidR="00000000" w:rsidRPr="00000000">
        <w:rPr>
          <w:rtl w:val="0"/>
        </w:rPr>
      </w:r>
    </w:p>
    <w:tbl>
      <w:tblPr>
        <w:tblStyle w:val="Table5"/>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267.978515625" w:hRule="atLeast"/>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1C">
            <w:pPr>
              <w:widowControl w:val="0"/>
              <w:spacing w:line="240" w:lineRule="auto"/>
              <w:jc w:val="center"/>
              <w:rPr>
                <w:sz w:val="24"/>
                <w:szCs w:val="24"/>
              </w:rPr>
            </w:pPr>
            <w:r w:rsidDel="00000000" w:rsidR="00000000" w:rsidRPr="00000000">
              <w:rPr>
                <w:sz w:val="24"/>
                <w:szCs w:val="24"/>
                <w:rtl w:val="0"/>
              </w:rPr>
              <w:t xml:space="preserve">Name</w:t>
            </w:r>
          </w:p>
        </w:tc>
        <w:tc>
          <w:tcPr>
            <w:shd w:fill="auto" w:val="clear"/>
            <w:tcMar>
              <w:top w:w="-44.64" w:type="dxa"/>
              <w:left w:w="-44.64" w:type="dxa"/>
              <w:bottom w:w="-44.64" w:type="dxa"/>
              <w:right w:w="-44.64" w:type="dxa"/>
            </w:tcMar>
            <w:vAlign w:val="top"/>
          </w:tcPr>
          <w:p w:rsidR="00000000" w:rsidDel="00000000" w:rsidP="00000000" w:rsidRDefault="00000000" w:rsidRPr="00000000" w14:paraId="0000001D">
            <w:pPr>
              <w:widowControl w:val="0"/>
              <w:spacing w:line="240" w:lineRule="auto"/>
              <w:jc w:val="center"/>
              <w:rPr>
                <w:sz w:val="24"/>
                <w:szCs w:val="24"/>
              </w:rPr>
            </w:pPr>
            <w:r w:rsidDel="00000000" w:rsidR="00000000" w:rsidRPr="00000000">
              <w:rPr>
                <w:sz w:val="24"/>
                <w:szCs w:val="24"/>
                <w:rtl w:val="0"/>
              </w:rPr>
              <w:t xml:space="preserve">Student ID</w:t>
            </w:r>
          </w:p>
        </w:tc>
        <w:tc>
          <w:tcPr>
            <w:shd w:fill="auto" w:val="clear"/>
            <w:tcMar>
              <w:top w:w="-44.64" w:type="dxa"/>
              <w:left w:w="-44.64" w:type="dxa"/>
              <w:bottom w:w="-44.64" w:type="dxa"/>
              <w:right w:w="-44.64" w:type="dxa"/>
            </w:tcMar>
            <w:vAlign w:val="top"/>
          </w:tcPr>
          <w:p w:rsidR="00000000" w:rsidDel="00000000" w:rsidP="00000000" w:rsidRDefault="00000000" w:rsidRPr="00000000" w14:paraId="0000001E">
            <w:pPr>
              <w:widowControl w:val="0"/>
              <w:spacing w:line="240" w:lineRule="auto"/>
              <w:jc w:val="center"/>
              <w:rPr>
                <w:sz w:val="24"/>
                <w:szCs w:val="24"/>
              </w:rPr>
            </w:pPr>
            <w:r w:rsidDel="00000000" w:rsidR="00000000" w:rsidRPr="00000000">
              <w:rPr>
                <w:sz w:val="24"/>
                <w:szCs w:val="24"/>
                <w:rtl w:val="0"/>
              </w:rPr>
              <w:t xml:space="preserve">Signature*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jc w:val="center"/>
              <w:rPr>
                <w:sz w:val="28"/>
                <w:szCs w:val="28"/>
              </w:rPr>
            </w:pPr>
            <w:r w:rsidDel="00000000" w:rsidR="00000000" w:rsidRPr="00000000">
              <w:rPr>
                <w:sz w:val="28"/>
                <w:szCs w:val="28"/>
                <w:rtl w:val="0"/>
              </w:rPr>
              <w:t xml:space="preserve">Shai Mourad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jc w:val="center"/>
              <w:rPr>
                <w:sz w:val="28"/>
                <w:szCs w:val="28"/>
              </w:rPr>
            </w:pPr>
            <w:r w:rsidDel="00000000" w:rsidR="00000000" w:rsidRPr="00000000">
              <w:rPr>
                <w:sz w:val="28"/>
                <w:szCs w:val="28"/>
                <w:rtl w:val="0"/>
              </w:rPr>
              <w:t xml:space="preserve">501170415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jc w:val="center"/>
              <w:rPr>
                <w:sz w:val="28"/>
                <w:szCs w:val="28"/>
              </w:rPr>
            </w:pPr>
            <w:r w:rsidDel="00000000" w:rsidR="00000000" w:rsidRPr="00000000">
              <w:rPr>
                <w:sz w:val="28"/>
                <w:szCs w:val="28"/>
              </w:rPr>
              <mc:AlternateContent>
                <mc:Choice Requires="wpg">
                  <w:drawing>
                    <wp:inline distB="114300" distT="114300" distL="114300" distR="114300">
                      <wp:extent cx="564560" cy="257207"/>
                      <wp:effectExtent b="0" l="0" r="0" t="0"/>
                      <wp:docPr id="1" name=""/>
                      <a:graphic>
                        <a:graphicData uri="http://schemas.microsoft.com/office/word/2010/wordprocessingShape">
                          <wps:wsp>
                            <wps:cNvSpPr/>
                            <wps:cNvPr id="2" name="Shape 2"/>
                            <wps:spPr>
                              <a:xfrm>
                                <a:off x="2092895" y="1492021"/>
                                <a:ext cx="3300725" cy="1491175"/>
                              </a:xfrm>
                              <a:custGeom>
                                <a:rect b="b" l="l" r="r" t="t"/>
                                <a:pathLst>
                                  <a:path extrusionOk="0" h="59647" w="132029">
                                    <a:moveTo>
                                      <a:pt x="31599" y="7"/>
                                    </a:moveTo>
                                    <a:cubicBezTo>
                                      <a:pt x="20599" y="7"/>
                                      <a:pt x="3002" y="-107"/>
                                      <a:pt x="334" y="10564"/>
                                    </a:cubicBezTo>
                                    <a:cubicBezTo>
                                      <a:pt x="-2306" y="21125"/>
                                      <a:pt x="15909" y="26578"/>
                                      <a:pt x="25915" y="30866"/>
                                    </a:cubicBezTo>
                                    <a:cubicBezTo>
                                      <a:pt x="30212" y="32707"/>
                                      <a:pt x="35988" y="32494"/>
                                      <a:pt x="38908" y="36144"/>
                                    </a:cubicBezTo>
                                    <a:cubicBezTo>
                                      <a:pt x="42312" y="40399"/>
                                      <a:pt x="44992" y="46920"/>
                                      <a:pt x="42968" y="51980"/>
                                    </a:cubicBezTo>
                                    <a:cubicBezTo>
                                      <a:pt x="41371" y="55972"/>
                                      <a:pt x="35815" y="57227"/>
                                      <a:pt x="31599" y="58070"/>
                                    </a:cubicBezTo>
                                    <a:cubicBezTo>
                                      <a:pt x="29063" y="58577"/>
                                      <a:pt x="25712" y="60710"/>
                                      <a:pt x="23884" y="58882"/>
                                    </a:cubicBezTo>
                                    <a:cubicBezTo>
                                      <a:pt x="20608" y="55606"/>
                                      <a:pt x="24177" y="49515"/>
                                      <a:pt x="25509" y="45077"/>
                                    </a:cubicBezTo>
                                    <a:cubicBezTo>
                                      <a:pt x="26624" y="41363"/>
                                      <a:pt x="27368" y="35564"/>
                                      <a:pt x="31193" y="34926"/>
                                    </a:cubicBezTo>
                                    <a:cubicBezTo>
                                      <a:pt x="39128" y="33603"/>
                                      <a:pt x="48050" y="35741"/>
                                      <a:pt x="54743" y="40205"/>
                                    </a:cubicBezTo>
                                    <a:cubicBezTo>
                                      <a:pt x="57212" y="41852"/>
                                      <a:pt x="58424" y="47234"/>
                                      <a:pt x="61240" y="46295"/>
                                    </a:cubicBezTo>
                                    <a:cubicBezTo>
                                      <a:pt x="70890" y="43078"/>
                                      <a:pt x="78768" y="34646"/>
                                      <a:pt x="88851" y="33302"/>
                                    </a:cubicBezTo>
                                    <a:cubicBezTo>
                                      <a:pt x="92216" y="32853"/>
                                      <a:pt x="95920" y="32692"/>
                                      <a:pt x="99002" y="34114"/>
                                    </a:cubicBezTo>
                                    <a:cubicBezTo>
                                      <a:pt x="102045" y="35518"/>
                                      <a:pt x="102587" y="40949"/>
                                      <a:pt x="105904" y="41423"/>
                                    </a:cubicBezTo>
                                    <a:cubicBezTo>
                                      <a:pt x="114117" y="42596"/>
                                      <a:pt x="123092" y="35616"/>
                                      <a:pt x="130673" y="38986"/>
                                    </a:cubicBezTo>
                                    <a:cubicBezTo>
                                      <a:pt x="132444" y="39773"/>
                                      <a:pt x="131891" y="42733"/>
                                      <a:pt x="131891" y="44671"/>
                                    </a:cubicBezTo>
                                  </a:path>
                                </a:pathLst>
                              </a:custGeom>
                              <a:noFill/>
                              <a:ln cap="flat" cmpd="sng" w="38100">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inline>
                  </w:drawing>
                </mc:Choice>
                <mc:Fallback>
                  <w:drawing>
                    <wp:inline distB="114300" distT="114300" distL="114300" distR="114300">
                      <wp:extent cx="564560" cy="257207"/>
                      <wp:effectExtent b="0" l="0" r="0" t="0"/>
                      <wp:docPr id="1"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564560" cy="257207"/>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022">
      <w:pPr>
        <w:jc w:val="center"/>
        <w:rPr>
          <w:sz w:val="28"/>
          <w:szCs w:val="28"/>
        </w:rPr>
      </w:pPr>
      <w:r w:rsidDel="00000000" w:rsidR="00000000" w:rsidRPr="00000000">
        <w:rPr>
          <w:rtl w:val="0"/>
        </w:rPr>
      </w:r>
    </w:p>
    <w:p w:rsidR="00000000" w:rsidDel="00000000" w:rsidP="00000000" w:rsidRDefault="00000000" w:rsidRPr="00000000" w14:paraId="00000023">
      <w:pPr>
        <w:jc w:val="cente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*By signing above you attest that you have contributed to this submission and confirm that all</w:t>
      </w:r>
    </w:p>
    <w:p w:rsidR="00000000" w:rsidDel="00000000" w:rsidP="00000000" w:rsidRDefault="00000000" w:rsidRPr="00000000" w14:paraId="00000025">
      <w:pPr>
        <w:rPr/>
      </w:pPr>
      <w:r w:rsidDel="00000000" w:rsidR="00000000" w:rsidRPr="00000000">
        <w:rPr>
          <w:rtl w:val="0"/>
        </w:rPr>
        <w:t xml:space="preserve">work you have contributed to this submission is your own work. Any suspicion of copying or</w:t>
      </w:r>
    </w:p>
    <w:p w:rsidR="00000000" w:rsidDel="00000000" w:rsidP="00000000" w:rsidRDefault="00000000" w:rsidRPr="00000000" w14:paraId="00000026">
      <w:pPr>
        <w:rPr/>
      </w:pPr>
      <w:r w:rsidDel="00000000" w:rsidR="00000000" w:rsidRPr="00000000">
        <w:rPr>
          <w:rtl w:val="0"/>
        </w:rPr>
        <w:t xml:space="preserve">plagiarism in this work will result in an investigation of Academic Misconduct and may result</w:t>
      </w:r>
    </w:p>
    <w:p w:rsidR="00000000" w:rsidDel="00000000" w:rsidP="00000000" w:rsidRDefault="00000000" w:rsidRPr="00000000" w14:paraId="00000027">
      <w:pPr>
        <w:rPr/>
      </w:pPr>
      <w:r w:rsidDel="00000000" w:rsidR="00000000" w:rsidRPr="00000000">
        <w:rPr>
          <w:rtl w:val="0"/>
        </w:rPr>
        <w:t xml:space="preserve">in a “0” on the work, an “F” in the course, or possibly more severe penalties, as well as a</w:t>
      </w:r>
    </w:p>
    <w:p w:rsidR="00000000" w:rsidDel="00000000" w:rsidP="00000000" w:rsidRDefault="00000000" w:rsidRPr="00000000" w14:paraId="00000028">
      <w:pPr>
        <w:rPr/>
      </w:pPr>
      <w:r w:rsidDel="00000000" w:rsidR="00000000" w:rsidRPr="00000000">
        <w:rPr>
          <w:rtl w:val="0"/>
        </w:rPr>
        <w:t xml:space="preserve">Disciplinary Notice on your academic record under the Student Code of Academic Conduct,</w:t>
      </w:r>
    </w:p>
    <w:p w:rsidR="00000000" w:rsidDel="00000000" w:rsidP="00000000" w:rsidRDefault="00000000" w:rsidRPr="00000000" w14:paraId="00000029">
      <w:pPr>
        <w:rPr/>
      </w:pPr>
      <w:r w:rsidDel="00000000" w:rsidR="00000000" w:rsidRPr="00000000">
        <w:rPr>
          <w:rtl w:val="0"/>
        </w:rPr>
        <w:t xml:space="preserve">which can be found online at:</w:t>
      </w:r>
    </w:p>
    <w:p w:rsidR="00000000" w:rsidDel="00000000" w:rsidP="00000000" w:rsidRDefault="00000000" w:rsidRPr="00000000" w14:paraId="0000002A">
      <w:pPr>
        <w:rPr>
          <w:rFonts w:ascii="Times New Roman" w:cs="Times New Roman" w:eastAsia="Times New Roman" w:hAnsi="Times New Roman"/>
          <w:b w:val="1"/>
          <w:bCs w:val="1"/>
          <w:sz w:val="24"/>
          <w:szCs w:val="24"/>
          <w:u w:val="single"/>
        </w:rPr>
      </w:pPr>
      <w:hyperlink r:id="rId7">
        <w:r w:rsidDel="00000000" w:rsidR="00000000" w:rsidRPr="00000000">
          <w:rPr>
            <w:color w:val="1155cc"/>
            <w:u w:val="single"/>
            <w:rtl w:val="0"/>
          </w:rPr>
          <w:t xml:space="preserve">https://www.torontomu.ca/senate/policies/pol60.pdf</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2C">
      <w:pPr>
        <w:pStyle w:val="Heading2"/>
        <w:spacing w:line="480" w:lineRule="auto"/>
        <w:jc w:val="center"/>
        <w:rPr/>
      </w:pPr>
      <w:bookmarkStart w:colFirst="0" w:colLast="0" w:name="_fpog1qtg1p3t" w:id="0"/>
      <w:bookmarkEnd w:id="0"/>
      <w:r w:rsidDel="00000000" w:rsidR="00000000" w:rsidRPr="00000000">
        <w:rPr>
          <w:rtl w:val="0"/>
        </w:rPr>
        <w:t xml:space="preserve">Table of Contents</w:t>
      </w:r>
    </w:p>
    <w:sdt>
      <w:sdtPr>
        <w:id w:val="-1038725771"/>
        <w:docPartObj>
          <w:docPartGallery w:val="Table of Contents"/>
          <w:docPartUnique w:val="1"/>
        </w:docPartObj>
      </w:sdtPr>
      <w:sdtContent>
        <w:p w:rsidR="00000000" w:rsidDel="00000000" w:rsidP="00000000" w:rsidRDefault="00000000" w:rsidRPr="00000000" w14:paraId="0000002D">
          <w:pPr>
            <w:widowControl w:val="0"/>
            <w:tabs>
              <w:tab w:val="right" w:leader="dot" w:pos="12000"/>
            </w:tabs>
            <w:spacing w:before="60" w:line="480" w:lineRule="auto"/>
            <w:rPr>
              <w:b w:val="1"/>
              <w:bCs w:val="1"/>
              <w:sz w:val="32"/>
              <w:szCs w:val="32"/>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b w:val="1"/>
              <w:bCs w:val="1"/>
              <w:sz w:val="32"/>
              <w:szCs w:val="32"/>
              <w:rtl w:val="0"/>
            </w:rPr>
            <w:t xml:space="preserve">Pre-Lab………………………………………………………………...2</w:t>
          </w:r>
        </w:p>
        <w:p w:rsidR="00000000" w:rsidDel="00000000" w:rsidP="00000000" w:rsidRDefault="00000000" w:rsidRPr="00000000" w14:paraId="0000002E">
          <w:pPr>
            <w:widowControl w:val="0"/>
            <w:tabs>
              <w:tab w:val="right" w:leader="dot" w:pos="12000"/>
            </w:tabs>
            <w:spacing w:before="60" w:line="480" w:lineRule="auto"/>
            <w:rPr>
              <w:b w:val="1"/>
              <w:bCs w:val="1"/>
              <w:sz w:val="32"/>
              <w:szCs w:val="32"/>
            </w:rPr>
          </w:pPr>
          <w:r w:rsidDel="00000000" w:rsidR="00000000" w:rsidRPr="00000000">
            <w:rPr>
              <w:b w:val="1"/>
              <w:bCs w:val="1"/>
              <w:sz w:val="32"/>
              <w:szCs w:val="32"/>
              <w:rtl w:val="0"/>
            </w:rPr>
            <w:t xml:space="preserve">Post-Lab:</w:t>
          </w:r>
        </w:p>
        <w:p w:rsidR="00000000" w:rsidDel="00000000" w:rsidP="00000000" w:rsidRDefault="00000000" w:rsidRPr="00000000" w14:paraId="0000002F">
          <w:pPr>
            <w:widowControl w:val="0"/>
            <w:numPr>
              <w:ilvl w:val="0"/>
              <w:numId w:val="1"/>
            </w:numPr>
            <w:tabs>
              <w:tab w:val="right" w:leader="dot" w:pos="12000"/>
            </w:tabs>
            <w:spacing w:after="0" w:afterAutospacing="0" w:before="60" w:line="480" w:lineRule="auto"/>
            <w:ind w:left="720" w:hanging="360"/>
            <w:rPr>
              <w:b w:val="1"/>
              <w:bCs w:val="1"/>
              <w:sz w:val="32"/>
              <w:szCs w:val="32"/>
              <w:u w:val="none"/>
            </w:rPr>
          </w:pPr>
          <w:r w:rsidDel="00000000" w:rsidR="00000000" w:rsidRPr="00000000">
            <w:rPr>
              <w:b w:val="1"/>
              <w:bCs w:val="1"/>
              <w:sz w:val="32"/>
              <w:szCs w:val="32"/>
              <w:rtl w:val="0"/>
            </w:rPr>
            <w:t xml:space="preserve">Introduction……………………………………………………..4</w:t>
          </w:r>
        </w:p>
        <w:p w:rsidR="00000000" w:rsidDel="00000000" w:rsidP="00000000" w:rsidRDefault="00000000" w:rsidRPr="00000000" w14:paraId="00000030">
          <w:pPr>
            <w:widowControl w:val="0"/>
            <w:numPr>
              <w:ilvl w:val="0"/>
              <w:numId w:val="1"/>
            </w:numPr>
            <w:tabs>
              <w:tab w:val="right" w:leader="dot" w:pos="12000"/>
            </w:tabs>
            <w:spacing w:after="0" w:afterAutospacing="0" w:before="0" w:beforeAutospacing="0" w:line="480" w:lineRule="auto"/>
            <w:ind w:left="720" w:hanging="360"/>
            <w:rPr>
              <w:b w:val="1"/>
              <w:bCs w:val="1"/>
              <w:sz w:val="32"/>
              <w:szCs w:val="32"/>
              <w:u w:val="none"/>
            </w:rPr>
          </w:pPr>
          <w:r w:rsidDel="00000000" w:rsidR="00000000" w:rsidRPr="00000000">
            <w:rPr>
              <w:b w:val="1"/>
              <w:bCs w:val="1"/>
              <w:sz w:val="32"/>
              <w:szCs w:val="32"/>
              <w:rtl w:val="0"/>
            </w:rPr>
            <w:t xml:space="preserve">Objectives…………………………………………………….…4</w:t>
          </w:r>
        </w:p>
        <w:p w:rsidR="00000000" w:rsidDel="00000000" w:rsidP="00000000" w:rsidRDefault="00000000" w:rsidRPr="00000000" w14:paraId="00000031">
          <w:pPr>
            <w:widowControl w:val="0"/>
            <w:numPr>
              <w:ilvl w:val="0"/>
              <w:numId w:val="1"/>
            </w:numPr>
            <w:tabs>
              <w:tab w:val="right" w:leader="dot" w:pos="12000"/>
            </w:tabs>
            <w:spacing w:after="0" w:afterAutospacing="0" w:before="0" w:beforeAutospacing="0" w:line="480" w:lineRule="auto"/>
            <w:ind w:left="720" w:hanging="360"/>
            <w:rPr>
              <w:b w:val="1"/>
              <w:bCs w:val="1"/>
              <w:sz w:val="32"/>
              <w:szCs w:val="32"/>
              <w:u w:val="none"/>
            </w:rPr>
          </w:pPr>
          <w:r w:rsidDel="00000000" w:rsidR="00000000" w:rsidRPr="00000000">
            <w:rPr>
              <w:b w:val="1"/>
              <w:bCs w:val="1"/>
              <w:sz w:val="32"/>
              <w:szCs w:val="32"/>
              <w:rtl w:val="0"/>
            </w:rPr>
            <w:t xml:space="preserve">Results………………………………………………………...…5</w:t>
          </w:r>
        </w:p>
        <w:p w:rsidR="00000000" w:rsidDel="00000000" w:rsidP="00000000" w:rsidRDefault="00000000" w:rsidRPr="00000000" w14:paraId="00000032">
          <w:pPr>
            <w:widowControl w:val="0"/>
            <w:numPr>
              <w:ilvl w:val="0"/>
              <w:numId w:val="1"/>
            </w:numPr>
            <w:tabs>
              <w:tab w:val="right" w:leader="dot" w:pos="12000"/>
            </w:tabs>
            <w:spacing w:after="0" w:afterAutospacing="0" w:before="0" w:beforeAutospacing="0" w:line="480" w:lineRule="auto"/>
            <w:ind w:left="720" w:hanging="360"/>
            <w:rPr>
              <w:b w:val="1"/>
              <w:bCs w:val="1"/>
              <w:sz w:val="32"/>
              <w:szCs w:val="32"/>
              <w:u w:val="none"/>
            </w:rPr>
          </w:pPr>
          <w:r w:rsidDel="00000000" w:rsidR="00000000" w:rsidRPr="00000000">
            <w:rPr>
              <w:b w:val="1"/>
              <w:bCs w:val="1"/>
              <w:sz w:val="32"/>
              <w:szCs w:val="32"/>
              <w:rtl w:val="0"/>
            </w:rPr>
            <w:t xml:space="preserve">Discussion………………………………………………………6</w:t>
          </w:r>
        </w:p>
        <w:p w:rsidR="00000000" w:rsidDel="00000000" w:rsidP="00000000" w:rsidRDefault="00000000" w:rsidRPr="00000000" w14:paraId="00000033">
          <w:pPr>
            <w:widowControl w:val="0"/>
            <w:numPr>
              <w:ilvl w:val="0"/>
              <w:numId w:val="1"/>
            </w:numPr>
            <w:tabs>
              <w:tab w:val="right" w:leader="dot" w:pos="12000"/>
            </w:tabs>
            <w:spacing w:after="0" w:afterAutospacing="0" w:before="0" w:beforeAutospacing="0" w:line="480" w:lineRule="auto"/>
            <w:ind w:left="720" w:hanging="360"/>
            <w:rPr>
              <w:b w:val="1"/>
              <w:bCs w:val="1"/>
              <w:sz w:val="32"/>
              <w:szCs w:val="32"/>
              <w:u w:val="none"/>
            </w:rPr>
          </w:pPr>
          <w:r w:rsidDel="00000000" w:rsidR="00000000" w:rsidRPr="00000000">
            <w:rPr>
              <w:b w:val="1"/>
              <w:bCs w:val="1"/>
              <w:sz w:val="32"/>
              <w:szCs w:val="32"/>
              <w:rtl w:val="0"/>
            </w:rPr>
            <w:t xml:space="preserve">Conclusion………………………………………………………6</w:t>
          </w:r>
        </w:p>
        <w:p w:rsidR="00000000" w:rsidDel="00000000" w:rsidP="00000000" w:rsidRDefault="00000000" w:rsidRPr="00000000" w14:paraId="00000034">
          <w:pPr>
            <w:widowControl w:val="0"/>
            <w:numPr>
              <w:ilvl w:val="0"/>
              <w:numId w:val="1"/>
            </w:numPr>
            <w:tabs>
              <w:tab w:val="right" w:leader="dot" w:pos="12000"/>
            </w:tabs>
            <w:spacing w:before="0" w:beforeAutospacing="0" w:line="480" w:lineRule="auto"/>
            <w:ind w:left="720" w:hanging="360"/>
            <w:rPr>
              <w:b w:val="1"/>
              <w:bCs w:val="1"/>
              <w:sz w:val="32"/>
              <w:szCs w:val="32"/>
              <w:u w:val="none"/>
            </w:rPr>
          </w:pPr>
          <w:r w:rsidDel="00000000" w:rsidR="00000000" w:rsidRPr="00000000">
            <w:rPr>
              <w:b w:val="1"/>
              <w:bCs w:val="1"/>
              <w:sz w:val="32"/>
              <w:szCs w:val="32"/>
              <w:rtl w:val="0"/>
            </w:rPr>
            <w:t xml:space="preserve">References………………………………………………………6</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5">
      <w:pPr>
        <w:pStyle w:val="Heading1"/>
        <w:spacing w:line="480" w:lineRule="auto"/>
        <w:rPr>
          <w:sz w:val="32"/>
          <w:szCs w:val="32"/>
        </w:rPr>
      </w:pPr>
      <w:bookmarkStart w:colFirst="0" w:colLast="0" w:name="_fajx09rj3wgc" w:id="1"/>
      <w:bookmarkEnd w:id="1"/>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pStyle w:val="Heading2"/>
        <w:keepNext w:val="0"/>
        <w:keepLines w:val="0"/>
        <w:rPr/>
      </w:pPr>
      <w:bookmarkStart w:colFirst="0" w:colLast="0" w:name="_mia25k8cy8cv" w:id="2"/>
      <w:bookmarkEnd w:id="2"/>
      <w:r w:rsidDel="00000000" w:rsidR="00000000" w:rsidRPr="00000000">
        <w:rPr>
          <w:rtl w:val="0"/>
        </w:rPr>
      </w:r>
    </w:p>
    <w:p w:rsidR="00000000" w:rsidDel="00000000" w:rsidP="00000000" w:rsidRDefault="00000000" w:rsidRPr="00000000" w14:paraId="00000040">
      <w:pPr>
        <w:pStyle w:val="Heading2"/>
        <w:keepNext w:val="0"/>
        <w:keepLines w:val="0"/>
        <w:rPr/>
      </w:pPr>
      <w:bookmarkStart w:colFirst="0" w:colLast="0" w:name="_zbdoh7ebofjz" w:id="3"/>
      <w:bookmarkEnd w:id="3"/>
      <w:r w:rsidDel="00000000" w:rsidR="00000000" w:rsidRPr="00000000">
        <w:rPr>
          <w:rtl w:val="0"/>
        </w:rPr>
      </w:r>
    </w:p>
    <w:p w:rsidR="00000000" w:rsidDel="00000000" w:rsidP="00000000" w:rsidRDefault="00000000" w:rsidRPr="00000000" w14:paraId="00000041">
      <w:pPr>
        <w:pStyle w:val="Heading2"/>
        <w:keepNext w:val="0"/>
        <w:keepLines w:val="0"/>
        <w:rPr/>
      </w:pPr>
      <w:bookmarkStart w:colFirst="0" w:colLast="0" w:name="_bdpqwscadw7q" w:id="4"/>
      <w:bookmarkEnd w:id="4"/>
      <w:r w:rsidDel="00000000" w:rsidR="00000000" w:rsidRPr="00000000">
        <w:rPr>
          <w:rtl w:val="0"/>
        </w:rPr>
        <w:t xml:space="preserve">Pre-Lab</w:t>
      </w:r>
    </w:p>
    <w:p w:rsidR="00000000" w:rsidDel="00000000" w:rsidP="00000000" w:rsidRDefault="00000000" w:rsidRPr="00000000" w14:paraId="00000042">
      <w:pPr>
        <w:rPr/>
      </w:pPr>
      <w:r w:rsidDel="00000000" w:rsidR="00000000" w:rsidRPr="00000000">
        <w:rPr/>
        <w:drawing>
          <wp:inline distB="114300" distT="114300" distL="114300" distR="114300">
            <wp:extent cx="5943600" cy="7480300"/>
            <wp:effectExtent b="0" l="0" r="0" t="0"/>
            <wp:docPr id="3" name="image3.jpg"/>
            <a:graphic>
              <a:graphicData uri="http://schemas.openxmlformats.org/drawingml/2006/picture">
                <pic:pic>
                  <pic:nvPicPr>
                    <pic:cNvPr id="0" name="image3.jpg"/>
                    <pic:cNvPicPr preferRelativeResize="0"/>
                  </pic:nvPicPr>
                  <pic:blipFill>
                    <a:blip r:embed="rId8"/>
                    <a:srcRect b="0" l="0" r="0" t="0"/>
                    <a:stretch>
                      <a:fillRect/>
                    </a:stretch>
                  </pic:blipFill>
                  <pic:spPr>
                    <a:xfrm>
                      <a:off x="0" y="0"/>
                      <a:ext cx="5943600" cy="74803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rPr/>
      </w:pPr>
      <w:r w:rsidDel="00000000" w:rsidR="00000000" w:rsidRPr="00000000">
        <w:rPr/>
        <w:drawing>
          <wp:inline distB="114300" distT="114300" distL="114300" distR="114300">
            <wp:extent cx="5943600" cy="7404100"/>
            <wp:effectExtent b="0" l="0" r="0" t="0"/>
            <wp:docPr id="2" name="image4.jpg"/>
            <a:graphic>
              <a:graphicData uri="http://schemas.openxmlformats.org/drawingml/2006/picture">
                <pic:pic>
                  <pic:nvPicPr>
                    <pic:cNvPr id="0" name="image4.jpg"/>
                    <pic:cNvPicPr preferRelativeResize="0"/>
                  </pic:nvPicPr>
                  <pic:blipFill>
                    <a:blip r:embed="rId9"/>
                    <a:srcRect b="0" l="0" r="0" t="0"/>
                    <a:stretch>
                      <a:fillRect/>
                    </a:stretch>
                  </pic:blipFill>
                  <pic:spPr>
                    <a:xfrm>
                      <a:off x="0" y="0"/>
                      <a:ext cx="5943600" cy="74041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pStyle w:val="Heading2"/>
        <w:spacing w:after="240" w:before="240" w:lineRule="auto"/>
        <w:rPr/>
      </w:pPr>
      <w:bookmarkStart w:colFirst="0" w:colLast="0" w:name="_k2e4jqpcq6qw" w:id="5"/>
      <w:bookmarkEnd w:id="5"/>
      <w:r w:rsidDel="00000000" w:rsidR="00000000" w:rsidRPr="00000000">
        <w:rPr>
          <w:rtl w:val="0"/>
        </w:rPr>
        <w:t xml:space="preserve">Post-Lab</w:t>
      </w:r>
    </w:p>
    <w:p w:rsidR="00000000" w:rsidDel="00000000" w:rsidP="00000000" w:rsidRDefault="00000000" w:rsidRPr="00000000" w14:paraId="00000046">
      <w:pPr>
        <w:pStyle w:val="Heading4"/>
        <w:rPr/>
      </w:pPr>
      <w:bookmarkStart w:colFirst="0" w:colLast="0" w:name="_vujokbboid4x" w:id="6"/>
      <w:bookmarkEnd w:id="6"/>
      <w:r w:rsidDel="00000000" w:rsidR="00000000" w:rsidRPr="00000000">
        <w:rPr>
          <w:rtl w:val="0"/>
        </w:rPr>
        <w:t xml:space="preserve">Introduction</w:t>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lab analyzes a three-phase balanced symmetrical fault in a multimachine power system and then compares the calculated values to software simulations using ETAP. The most severe type of short circuit, a symmetrical fault, produces the highest fault current and stresses on equipment. Therefore, accuracy of analysis is extremely important when designing protection systems, selecting circuit breakers, or ensuring system stability.</w:t>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in this lab has three synchronous generators connected to a high voltage network through step-up transformers, three transmission lines, and a bolted three-phase fault applied at Bus 2. Calculations were completed in per-unit using a base power found from the student ID, while all generator voltages were assumed to be 1.0 pu with equal phase angles as required for worst-case subtransient fault analysis.</w:t>
      </w:r>
      <w:r w:rsidDel="00000000" w:rsidR="00000000" w:rsidRPr="00000000">
        <w:rPr>
          <w:rtl w:val="0"/>
        </w:rPr>
      </w:r>
    </w:p>
    <w:p w:rsidR="00000000" w:rsidDel="00000000" w:rsidP="00000000" w:rsidRDefault="00000000" w:rsidRPr="00000000" w14:paraId="0000004A">
      <w:pPr>
        <w:pStyle w:val="Heading4"/>
        <w:rPr/>
      </w:pPr>
      <w:bookmarkStart w:colFirst="0" w:colLast="0" w:name="_eh5b9puczf6f" w:id="7"/>
      <w:bookmarkEnd w:id="7"/>
      <w:r w:rsidDel="00000000" w:rsidR="00000000" w:rsidRPr="00000000">
        <w:rPr>
          <w:rtl w:val="0"/>
        </w:rPr>
        <w:t xml:space="preserve">Objectives </w:t>
      </w:r>
    </w:p>
    <w:p w:rsidR="00000000" w:rsidDel="00000000" w:rsidP="00000000" w:rsidRDefault="00000000" w:rsidRPr="00000000" w14:paraId="0000004B">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construct the per-unit impedance diagram of the three-machine power system using the system base derived from the student ID number.</w:t>
        <w:br w:type="textWrapping"/>
      </w:r>
    </w:p>
    <w:p w:rsidR="00000000" w:rsidDel="00000000" w:rsidP="00000000" w:rsidRDefault="00000000" w:rsidRPr="00000000" w14:paraId="0000004C">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manually compute the Thevenin equivalent impedance and subtransient fault current at Bus 2.</w:t>
        <w:br w:type="textWrapping"/>
      </w:r>
    </w:p>
    <w:p w:rsidR="00000000" w:rsidDel="00000000" w:rsidP="00000000" w:rsidRDefault="00000000" w:rsidRPr="00000000" w14:paraId="0000004D">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determine the individual current contributions from each generator through the transmission lines.</w:t>
        <w:br w:type="textWrapping"/>
      </w:r>
    </w:p>
    <w:p w:rsidR="00000000" w:rsidDel="00000000" w:rsidP="00000000" w:rsidRDefault="00000000" w:rsidRPr="00000000" w14:paraId="0000004E">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simulate the same balanced three-phase fault using ETAP’s short-circuit analysis module.</w:t>
        <w:br w:type="textWrapping"/>
      </w:r>
    </w:p>
    <w:p w:rsidR="00000000" w:rsidDel="00000000" w:rsidP="00000000" w:rsidRDefault="00000000" w:rsidRPr="00000000" w14:paraId="0000004F">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compare ETAP results with manually calculated values and discuss any discrepancies.</w:t>
      </w:r>
    </w:p>
    <w:p w:rsidR="00000000" w:rsidDel="00000000" w:rsidP="00000000" w:rsidRDefault="00000000" w:rsidRPr="00000000" w14:paraId="00000050">
      <w:pPr>
        <w:pStyle w:val="Heading4"/>
        <w:rPr>
          <w:rFonts w:ascii="Times New Roman" w:cs="Times New Roman" w:eastAsia="Times New Roman" w:hAnsi="Times New Roman"/>
          <w:sz w:val="24"/>
          <w:szCs w:val="24"/>
        </w:rPr>
      </w:pPr>
      <w:bookmarkStart w:colFirst="0" w:colLast="0" w:name="_t84tbaymfp4l" w:id="8"/>
      <w:bookmarkEnd w:id="8"/>
      <w:r w:rsidDel="00000000" w:rsidR="00000000" w:rsidRPr="00000000">
        <w:rPr>
          <w:rtl w:val="0"/>
        </w:rPr>
        <w:t xml:space="preserve">Results</w:t>
      </w:r>
      <w:r w:rsidDel="00000000" w:rsidR="00000000" w:rsidRPr="00000000">
        <w:rPr>
          <w:rtl w:val="0"/>
        </w:rPr>
      </w:r>
    </w:p>
    <w:p w:rsidR="00000000" w:rsidDel="00000000" w:rsidP="00000000" w:rsidRDefault="00000000" w:rsidRPr="00000000" w14:paraId="00000051">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721100"/>
            <wp:effectExtent b="25400" l="25400" r="25400" t="25400"/>
            <wp:docPr id="4"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43600" cy="37211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52">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1 </w:t>
      </w:r>
      <w:r w:rsidDel="00000000" w:rsidR="00000000" w:rsidRPr="00000000">
        <w:rPr>
          <w:rFonts w:ascii="Times New Roman" w:cs="Times New Roman" w:eastAsia="Times New Roman" w:hAnsi="Times New Roman"/>
          <w:sz w:val="24"/>
          <w:szCs w:val="24"/>
          <w:rtl w:val="0"/>
        </w:rPr>
        <w:t xml:space="preserve">- ETAP Circuit Simulation Result</w:t>
      </w:r>
    </w:p>
    <w:p w:rsidR="00000000" w:rsidDel="00000000" w:rsidP="00000000" w:rsidRDefault="00000000" w:rsidRPr="00000000" w14:paraId="00000053">
      <w:pPr>
        <w:pStyle w:val="Heading4"/>
        <w:rPr/>
      </w:pPr>
      <w:bookmarkStart w:colFirst="0" w:colLast="0" w:name="_a8yjpm3axzuc" w:id="9"/>
      <w:bookmarkEnd w:id="9"/>
      <w:r w:rsidDel="00000000" w:rsidR="00000000" w:rsidRPr="00000000">
        <w:rPr>
          <w:rtl w:val="0"/>
        </w:rPr>
      </w:r>
    </w:p>
    <w:tbl>
      <w:tblPr>
        <w:tblStyle w:val="Table6"/>
        <w:tblW w:w="91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45"/>
        <w:gridCol w:w="3360"/>
        <w:gridCol w:w="2775"/>
        <w:tblGridChange w:id="0">
          <w:tblGrid>
            <w:gridCol w:w="3045"/>
            <w:gridCol w:w="3360"/>
            <w:gridCol w:w="2775"/>
          </w:tblGrid>
        </w:tblGridChange>
      </w:tblGrid>
      <w:tr>
        <w:trPr>
          <w:cantSplit w:val="0"/>
          <w:trHeight w:val="10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jc w:val="center"/>
              <w:rPr/>
            </w:pPr>
            <w:r w:rsidDel="00000000" w:rsidR="00000000" w:rsidRPr="00000000">
              <w:rPr>
                <w:rtl w:val="0"/>
              </w:rPr>
              <w:t xml:space="preserve">Quantity (Bus / branch)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jc w:val="center"/>
              <w:rPr/>
            </w:pPr>
            <w:r w:rsidDel="00000000" w:rsidR="00000000" w:rsidRPr="00000000">
              <w:rPr>
                <w:rtl w:val="0"/>
              </w:rPr>
              <w:t xml:space="preserve">Pre-lab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6">
            <w:pPr>
              <w:jc w:val="center"/>
              <w:rPr/>
            </w:pPr>
            <w:r w:rsidDel="00000000" w:rsidR="00000000" w:rsidRPr="00000000">
              <w:rPr>
                <w:rtl w:val="0"/>
              </w:rPr>
              <w:t xml:space="preserve">ETAP</w:t>
            </w:r>
          </w:p>
        </w:tc>
      </w:tr>
      <w:tr>
        <w:trPr>
          <w:cantSplit w:val="0"/>
          <w:trHeight w:val="16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Total 3-phase fault current at Bus 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8.15 kA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5.721 kA</w:t>
            </w:r>
          </w:p>
        </w:tc>
      </w:tr>
      <w:tr>
        <w:trPr>
          <w:cantSplit w:val="0"/>
          <w:trHeight w:val="10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Gen1 contribution to fault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3.40 kA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1.443 kA</w:t>
            </w:r>
          </w:p>
        </w:tc>
      </w:tr>
      <w:tr>
        <w:trPr>
          <w:cantSplit w:val="0"/>
          <w:trHeight w:val="10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Gen2 contribution to fault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2.65 kA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2.014 kA</w:t>
            </w:r>
          </w:p>
        </w:tc>
      </w:tr>
      <w:tr>
        <w:trPr>
          <w:cantSplit w:val="0"/>
          <w:trHeight w:val="992.77587890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Gen3 contribution to fault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2.12 kA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2.264 kA</w:t>
            </w:r>
          </w:p>
        </w:tc>
      </w:tr>
    </w:tbl>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 1</w:t>
      </w:r>
      <w:r w:rsidDel="00000000" w:rsidR="00000000" w:rsidRPr="00000000">
        <w:rPr>
          <w:rFonts w:ascii="Times New Roman" w:cs="Times New Roman" w:eastAsia="Times New Roman" w:hAnsi="Times New Roman"/>
          <w:sz w:val="24"/>
          <w:szCs w:val="24"/>
          <w:rtl w:val="0"/>
        </w:rPr>
        <w:t xml:space="preserve"> - Observations and Results from ETAP Circuit</w:t>
      </w:r>
    </w:p>
    <w:p w:rsidR="00000000" w:rsidDel="00000000" w:rsidP="00000000" w:rsidRDefault="00000000" w:rsidRPr="00000000" w14:paraId="00000065">
      <w:pPr>
        <w:pStyle w:val="Heading4"/>
        <w:rPr/>
      </w:pPr>
      <w:bookmarkStart w:colFirst="0" w:colLast="0" w:name="_xgdcbxyzhm5u" w:id="10"/>
      <w:bookmarkEnd w:id="10"/>
      <w:r w:rsidDel="00000000" w:rsidR="00000000" w:rsidRPr="00000000">
        <w:rPr>
          <w:rtl w:val="0"/>
        </w:rPr>
      </w:r>
    </w:p>
    <w:p w:rsidR="00000000" w:rsidDel="00000000" w:rsidP="00000000" w:rsidRDefault="00000000" w:rsidRPr="00000000" w14:paraId="00000066">
      <w:pPr>
        <w:pStyle w:val="Heading4"/>
        <w:rPr/>
      </w:pPr>
      <w:bookmarkStart w:colFirst="0" w:colLast="0" w:name="_95wa11mrlsdn" w:id="11"/>
      <w:bookmarkEnd w:id="11"/>
      <w:r w:rsidDel="00000000" w:rsidR="00000000" w:rsidRPr="00000000">
        <w:rPr>
          <w:rtl w:val="0"/>
        </w:rPr>
        <w:t xml:space="preserve">Discussion</w:t>
      </w:r>
    </w:p>
    <w:p w:rsidR="00000000" w:rsidDel="00000000" w:rsidP="00000000" w:rsidRDefault="00000000" w:rsidRPr="00000000" w14:paraId="000000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numerical differences, the qualitative behaviour of the system is consistent between pre-lab calculations and in-lab results. ETAP shows the same distribution of currents among the generators and confirms the topology-driven division of fault current based on relative series reactances. Due to using different base values in the pre-lab vs the simulations (a base using one’s student ID is calculated and used in the pre-lab but not simulations, which have pre-set values to use), the magnitudes cannot be directly compared.</w:t>
      </w:r>
    </w:p>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exercise reaffirms that manual per-unit analysis correctly predicts the structure and relative magnitude of fault contributions. Once ETAP’s base is identified and the values are converted, the results are expected to align closely with the manual values.</w:t>
      </w:r>
      <w:r w:rsidDel="00000000" w:rsidR="00000000" w:rsidRPr="00000000">
        <w:rPr>
          <w:rtl w:val="0"/>
        </w:rPr>
      </w:r>
    </w:p>
    <w:p w:rsidR="00000000" w:rsidDel="00000000" w:rsidP="00000000" w:rsidRDefault="00000000" w:rsidRPr="00000000" w14:paraId="0000006A">
      <w:pPr>
        <w:pStyle w:val="Heading4"/>
        <w:rPr/>
      </w:pPr>
      <w:bookmarkStart w:colFirst="0" w:colLast="0" w:name="_r71bmtp2e8di" w:id="12"/>
      <w:bookmarkEnd w:id="12"/>
      <w:r w:rsidDel="00000000" w:rsidR="00000000" w:rsidRPr="00000000">
        <w:rPr>
          <w:rtl w:val="0"/>
        </w:rPr>
        <w:t xml:space="preserve">Conclusion</w:t>
      </w:r>
    </w:p>
    <w:p w:rsidR="00000000" w:rsidDel="00000000" w:rsidP="00000000" w:rsidRDefault="00000000" w:rsidRPr="00000000" w14:paraId="000000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 using manual and simulated methods, this lab properly demonstrated symmetrical fault analysis. Manual calculations provided a worst-case estimate based on simplified assumptions and a custom student-ID system base, while ETAP had consistent patterns of current distributions. Due to internal base differences, the values were different but showed similar patterns.</w:t>
      </w:r>
    </w:p>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lab shows the significance of consistent base usage in per-unit analysis, and how they can alter the results greatly while still showing similar output patterns. If the base values were the same, the outputs are expected to match in both ETAP simulation and pre-lab calculations. Overall, this experiment reinforced concepts such as fault modeling, generator subtransient behavior, or the importance of transformer connections and grounding practices in the study of power systems analysis.</w:t>
      </w:r>
    </w:p>
    <w:p w:rsidR="00000000" w:rsidDel="00000000" w:rsidP="00000000" w:rsidRDefault="00000000" w:rsidRPr="00000000" w14:paraId="0000006E">
      <w:pPr>
        <w:pStyle w:val="Heading4"/>
        <w:keepNext w:val="0"/>
        <w:keepLines w:val="0"/>
        <w:rPr>
          <w:rFonts w:ascii="Calibri" w:cs="Calibri" w:eastAsia="Calibri" w:hAnsi="Calibri"/>
        </w:rPr>
      </w:pPr>
      <w:bookmarkStart w:colFirst="0" w:colLast="0" w:name="_fxxngawoem30" w:id="13"/>
      <w:bookmarkEnd w:id="13"/>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06F">
      <w:pPr>
        <w:shd w:fill="ffffff" w:val="clear"/>
        <w:spacing w:line="600" w:lineRule="auto"/>
        <w:ind w:left="720" w:right="80" w:firstLine="0"/>
        <w:rPr/>
      </w:pPr>
      <w:r w:rsidDel="00000000" w:rsidR="00000000" w:rsidRPr="00000000">
        <w:rPr>
          <w:rFonts w:ascii="Calibri" w:cs="Calibri" w:eastAsia="Calibri" w:hAnsi="Calibri"/>
          <w:rtl w:val="0"/>
        </w:rPr>
        <w:t xml:space="preserve">Toronto Metropolitan University. (n.d.). </w:t>
      </w:r>
      <w:r w:rsidDel="00000000" w:rsidR="00000000" w:rsidRPr="00000000">
        <w:rPr>
          <w:rFonts w:ascii="Calibri" w:cs="Calibri" w:eastAsia="Calibri" w:hAnsi="Calibri"/>
          <w:i w:val="1"/>
          <w:iCs w:val="1"/>
          <w:rtl w:val="0"/>
        </w:rPr>
        <w:t xml:space="preserve">ELE 746 Laboratory Manual – Project 2: Three-Phase Symmetrical Faults, Department of Electrical Engineering</w:t>
      </w:r>
      <w:r w:rsidDel="00000000" w:rsidR="00000000" w:rsidRPr="00000000">
        <w:rPr>
          <w:rFonts w:ascii="Calibri" w:cs="Calibri" w:eastAsia="Calibri" w:hAnsi="Calibri"/>
          <w:rtl w:val="0"/>
        </w:rPr>
        <w:t xml:space="preserve"> [PDF]. D2L. </w:t>
      </w:r>
      <w:hyperlink r:id="rId11">
        <w:r w:rsidDel="00000000" w:rsidR="00000000" w:rsidRPr="00000000">
          <w:rPr>
            <w:rFonts w:ascii="Calibri" w:cs="Calibri" w:eastAsia="Calibri" w:hAnsi="Calibri"/>
            <w:rtl w:val="0"/>
          </w:rPr>
          <w:t xml:space="preserve">https://courses.torontomu.ca/d2l/le/content/1076725/viewContent/6674498/View</w:t>
        </w:r>
      </w:hyperlink>
      <w:r w:rsidDel="00000000" w:rsidR="00000000" w:rsidRPr="00000000">
        <w:rPr>
          <w:rtl w:val="0"/>
        </w:rPr>
      </w:r>
    </w:p>
    <w:sectPr>
      <w:headerReference r:id="rId12" w:type="default"/>
      <w:headerReference r:id="rId13" w:type="first"/>
      <w:footerReference r:id="rId14" w:type="default"/>
      <w:footerReference r:id="rId15" w:type="first"/>
      <w:pgSz w:h="15840" w:w="1224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3">
    <w:pPr>
      <w:jc w:val="righ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4">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0">
    <w:pPr>
      <w:jc w:val="cente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1">
    <w:pPr>
      <w:jc w:val="center"/>
      <w:rPr/>
    </w:pPr>
    <w:r w:rsidDel="00000000" w:rsidR="00000000" w:rsidRPr="00000000">
      <w:rPr/>
      <w:drawing>
        <wp:inline distB="114300" distT="114300" distL="114300" distR="114300">
          <wp:extent cx="2390585" cy="1013552"/>
          <wp:effectExtent b="0" l="0" r="0" t="0"/>
          <wp:docPr id="5"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390585" cy="1013552"/>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courses.torontomu.ca/d2l/le/content/1076725/viewContent/6674498/View" TargetMode="External"/><Relationship Id="rId10" Type="http://schemas.openxmlformats.org/officeDocument/2006/relationships/image" Target="media/image2.png"/><Relationship Id="rId13" Type="http://schemas.openxmlformats.org/officeDocument/2006/relationships/header" Target="header2.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jpg"/><Relationship Id="rId15" Type="http://schemas.openxmlformats.org/officeDocument/2006/relationships/footer" Target="footer1.xml"/><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hyperlink" Target="https://www.torontomu.ca/senate/policies/pol60.pdf" TargetMode="External"/><Relationship Id="rId8" Type="http://schemas.openxmlformats.org/officeDocument/2006/relationships/image" Target="media/image3.jp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