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Faculty of Engineering, Architecture and Science</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Department of Mechanical, Industrial, and Mechatronics Engineering</w:t>
      </w:r>
    </w:p>
    <w:p w:rsidR="00000000" w:rsidDel="00000000" w:rsidP="00000000" w:rsidRDefault="00000000" w:rsidRPr="00000000" w14:paraId="00000004">
      <w:pPr>
        <w:rPr>
          <w:b w:val="1"/>
          <w:bCs w:val="1"/>
        </w:rPr>
      </w:pPr>
      <w:r w:rsidDel="00000000" w:rsidR="00000000" w:rsidRPr="00000000">
        <w:rPr>
          <w:rtl w:val="0"/>
        </w:rPr>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sz w:val="28"/>
                <w:szCs w:val="28"/>
              </w:rPr>
            </w:pPr>
            <w:r w:rsidDel="00000000" w:rsidR="00000000" w:rsidRPr="00000000">
              <w:rPr>
                <w:sz w:val="28"/>
                <w:szCs w:val="28"/>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b w:val="1"/>
                <w:bCs w:val="1"/>
                <w:sz w:val="28"/>
                <w:szCs w:val="28"/>
              </w:rPr>
            </w:pPr>
            <w:r w:rsidDel="00000000" w:rsidR="00000000" w:rsidRPr="00000000">
              <w:rPr>
                <w:b w:val="1"/>
                <w:bCs w:val="1"/>
                <w:sz w:val="28"/>
                <w:szCs w:val="28"/>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sz w:val="28"/>
                <w:szCs w:val="28"/>
              </w:rPr>
            </w:pPr>
            <w:r w:rsidDel="00000000" w:rsidR="00000000" w:rsidRPr="00000000">
              <w:rPr>
                <w:sz w:val="28"/>
                <w:szCs w:val="28"/>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b w:val="1"/>
                <w:bCs w:val="1"/>
                <w:sz w:val="28"/>
                <w:szCs w:val="28"/>
              </w:rPr>
            </w:pPr>
            <w:r w:rsidDel="00000000" w:rsidR="00000000" w:rsidRPr="00000000">
              <w:rPr>
                <w:b w:val="1"/>
                <w:bCs w:val="1"/>
                <w:sz w:val="28"/>
                <w:szCs w:val="28"/>
                <w:rtl w:val="0"/>
              </w:rPr>
              <w:t xml:space="preserve">ELE846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sz w:val="28"/>
                <w:szCs w:val="28"/>
              </w:rPr>
            </w:pPr>
            <w:r w:rsidDel="00000000" w:rsidR="00000000" w:rsidRPr="00000000">
              <w:rPr>
                <w:sz w:val="28"/>
                <w:szCs w:val="28"/>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b w:val="1"/>
                <w:bCs w:val="1"/>
                <w:sz w:val="28"/>
                <w:szCs w:val="28"/>
              </w:rPr>
            </w:pPr>
            <w:r w:rsidDel="00000000" w:rsidR="00000000" w:rsidRPr="00000000">
              <w:rPr>
                <w:b w:val="1"/>
                <w:bCs w:val="1"/>
                <w:sz w:val="28"/>
                <w:szCs w:val="28"/>
                <w:rtl w:val="0"/>
              </w:rPr>
              <w:t xml:space="preserve">Power Systems Protection Control</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sz w:val="28"/>
                <w:szCs w:val="28"/>
              </w:rPr>
            </w:pPr>
            <w:r w:rsidDel="00000000" w:rsidR="00000000" w:rsidRPr="00000000">
              <w:rPr>
                <w:sz w:val="28"/>
                <w:szCs w:val="28"/>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b w:val="1"/>
                <w:bCs w:val="1"/>
                <w:sz w:val="28"/>
                <w:szCs w:val="28"/>
              </w:rPr>
            </w:pPr>
            <w:r w:rsidDel="00000000" w:rsidR="00000000" w:rsidRPr="00000000">
              <w:rPr>
                <w:b w:val="1"/>
                <w:bCs w:val="1"/>
                <w:sz w:val="28"/>
                <w:szCs w:val="28"/>
                <w:rtl w:val="0"/>
              </w:rPr>
              <w:t xml:space="preserve">F2025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sz w:val="28"/>
                <w:szCs w:val="28"/>
              </w:rPr>
            </w:pPr>
            <w:r w:rsidDel="00000000" w:rsidR="00000000" w:rsidRPr="00000000">
              <w:rPr>
                <w:sz w:val="28"/>
                <w:szCs w:val="28"/>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E">
            <w:pPr>
              <w:widowControl w:val="0"/>
              <w:spacing w:line="240" w:lineRule="auto"/>
              <w:jc w:val="center"/>
              <w:rPr>
                <w:b w:val="1"/>
                <w:bCs w:val="1"/>
                <w:sz w:val="28"/>
                <w:szCs w:val="28"/>
              </w:rPr>
            </w:pPr>
            <w:r w:rsidDel="00000000" w:rsidR="00000000" w:rsidRPr="00000000">
              <w:rPr>
                <w:b w:val="1"/>
                <w:bCs w:val="1"/>
                <w:sz w:val="28"/>
                <w:szCs w:val="28"/>
                <w:rtl w:val="0"/>
              </w:rPr>
              <w:t xml:space="preserve">Dr. Richard Cheung</w:t>
            </w:r>
          </w:p>
        </w:tc>
      </w:tr>
    </w:tbl>
    <w:p w:rsidR="00000000" w:rsidDel="00000000" w:rsidP="00000000" w:rsidRDefault="00000000" w:rsidRPr="00000000" w14:paraId="0000000F">
      <w:pPr>
        <w:rPr>
          <w:b w:val="1"/>
          <w:bCs w:val="1"/>
          <w:sz w:val="30"/>
          <w:szCs w:val="30"/>
        </w:rPr>
      </w:pPr>
      <w:r w:rsidDel="00000000" w:rsidR="00000000" w:rsidRPr="00000000">
        <w:rPr>
          <w:rtl w:val="0"/>
        </w:rPr>
      </w:r>
    </w:p>
    <w:tbl>
      <w:tblPr>
        <w:tblStyle w:val="Table2"/>
        <w:tblW w:w="7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90"/>
        <w:tblGridChange w:id="0">
          <w:tblGrid>
            <w:gridCol w:w="5715"/>
            <w:gridCol w:w="159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b w:val="1"/>
                <w:bCs w:val="1"/>
                <w:sz w:val="36"/>
                <w:szCs w:val="36"/>
              </w:rPr>
            </w:pPr>
            <w:r w:rsidDel="00000000" w:rsidR="00000000" w:rsidRPr="00000000">
              <w:rPr>
                <w:b w:val="1"/>
                <w:bCs w:val="1"/>
                <w:sz w:val="36"/>
                <w:szCs w:val="36"/>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1">
            <w:pPr>
              <w:widowControl w:val="0"/>
              <w:spacing w:line="240" w:lineRule="auto"/>
              <w:jc w:val="center"/>
              <w:rPr>
                <w:b w:val="1"/>
                <w:bCs w:val="1"/>
                <w:sz w:val="36"/>
                <w:szCs w:val="36"/>
              </w:rPr>
            </w:pPr>
            <w:r w:rsidDel="00000000" w:rsidR="00000000" w:rsidRPr="00000000">
              <w:rPr>
                <w:b w:val="1"/>
                <w:bCs w:val="1"/>
                <w:sz w:val="36"/>
                <w:szCs w:val="36"/>
                <w:rtl w:val="0"/>
              </w:rPr>
              <w:t xml:space="preserve">Lab Report #2</w:t>
            </w:r>
          </w:p>
        </w:tc>
      </w:tr>
    </w:tbl>
    <w:p w:rsidR="00000000" w:rsidDel="00000000" w:rsidP="00000000" w:rsidRDefault="00000000" w:rsidRPr="00000000" w14:paraId="00000012">
      <w:pPr>
        <w:rPr>
          <w:sz w:val="28"/>
          <w:szCs w:val="28"/>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sz w:val="28"/>
                <w:szCs w:val="28"/>
              </w:rPr>
            </w:pPr>
            <w:r w:rsidDel="00000000" w:rsidR="00000000" w:rsidRPr="00000000">
              <w:rPr>
                <w:sz w:val="28"/>
                <w:szCs w:val="28"/>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4">
            <w:pPr>
              <w:widowControl w:val="0"/>
              <w:spacing w:line="240" w:lineRule="auto"/>
              <w:jc w:val="left"/>
              <w:rPr>
                <w:sz w:val="28"/>
                <w:szCs w:val="28"/>
              </w:rPr>
            </w:pPr>
            <w:r w:rsidDel="00000000" w:rsidR="00000000" w:rsidRPr="00000000">
              <w:rPr>
                <w:sz w:val="28"/>
                <w:szCs w:val="28"/>
                <w:rtl w:val="0"/>
              </w:rPr>
              <w:t xml:space="preserve">ELE846 Lab Project 2:</w:t>
            </w:r>
          </w:p>
          <w:p w:rsidR="00000000" w:rsidDel="00000000" w:rsidP="00000000" w:rsidRDefault="00000000" w:rsidRPr="00000000" w14:paraId="00000015">
            <w:pPr>
              <w:widowControl w:val="0"/>
              <w:spacing w:line="240" w:lineRule="auto"/>
              <w:jc w:val="left"/>
              <w:rPr>
                <w:sz w:val="28"/>
                <w:szCs w:val="28"/>
              </w:rPr>
            </w:pPr>
            <w:r w:rsidDel="00000000" w:rsidR="00000000" w:rsidRPr="00000000">
              <w:rPr>
                <w:sz w:val="28"/>
                <w:szCs w:val="28"/>
                <w:rtl w:val="0"/>
              </w:rPr>
              <w:t xml:space="preserve">Protection Systems Design and Verification</w:t>
            </w:r>
          </w:p>
        </w:tc>
      </w:tr>
    </w:tbl>
    <w:p w:rsidR="00000000" w:rsidDel="00000000" w:rsidP="00000000" w:rsidRDefault="00000000" w:rsidRPr="00000000" w14:paraId="00000016">
      <w:pPr>
        <w:rPr>
          <w:sz w:val="28"/>
          <w:szCs w:val="28"/>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sz w:val="28"/>
                <w:szCs w:val="28"/>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sz w:val="28"/>
                <w:szCs w:val="28"/>
              </w:rPr>
            </w:pPr>
            <w:r w:rsidDel="00000000" w:rsidR="00000000" w:rsidRPr="00000000">
              <w:rPr>
                <w:sz w:val="28"/>
                <w:szCs w:val="28"/>
                <w:rtl w:val="0"/>
              </w:rPr>
              <w:t xml:space="preserve">01</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sz w:val="28"/>
                <w:szCs w:val="28"/>
              </w:rPr>
            </w:pPr>
            <w:r w:rsidDel="00000000" w:rsidR="00000000" w:rsidRPr="00000000">
              <w:rPr>
                <w:sz w:val="28"/>
                <w:szCs w:val="28"/>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sz w:val="28"/>
                <w:szCs w:val="28"/>
              </w:rPr>
            </w:pPr>
            <w:r w:rsidDel="00000000" w:rsidR="00000000" w:rsidRPr="00000000">
              <w:rPr>
                <w:sz w:val="28"/>
                <w:szCs w:val="28"/>
                <w:rtl w:val="0"/>
              </w:rPr>
              <w:t xml:space="preserve">March 13, 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B">
            <w:pPr>
              <w:widowControl w:val="0"/>
              <w:spacing w:line="240" w:lineRule="auto"/>
              <w:jc w:val="center"/>
              <w:rPr>
                <w:sz w:val="28"/>
                <w:szCs w:val="28"/>
              </w:rPr>
            </w:pPr>
            <w:r w:rsidDel="00000000" w:rsidR="00000000" w:rsidRPr="00000000">
              <w:rPr>
                <w:sz w:val="28"/>
                <w:szCs w:val="28"/>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C">
            <w:pPr>
              <w:widowControl w:val="0"/>
              <w:spacing w:line="240" w:lineRule="auto"/>
              <w:jc w:val="center"/>
              <w:rPr>
                <w:sz w:val="28"/>
                <w:szCs w:val="28"/>
              </w:rPr>
            </w:pPr>
            <w:r w:rsidDel="00000000" w:rsidR="00000000" w:rsidRPr="00000000">
              <w:rPr>
                <w:sz w:val="28"/>
                <w:szCs w:val="28"/>
                <w:rtl w:val="0"/>
              </w:rPr>
              <w:t xml:space="preserve">March 14, 2025</w:t>
            </w:r>
          </w:p>
        </w:tc>
      </w:tr>
    </w:tbl>
    <w:p w:rsidR="00000000" w:rsidDel="00000000" w:rsidP="00000000" w:rsidRDefault="00000000" w:rsidRPr="00000000" w14:paraId="0000001D">
      <w:pPr>
        <w:jc w:val="center"/>
        <w:rPr>
          <w:sz w:val="28"/>
          <w:szCs w:val="28"/>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F">
            <w:pPr>
              <w:widowControl w:val="0"/>
              <w:spacing w:line="240" w:lineRule="auto"/>
              <w:jc w:val="center"/>
              <w:rPr>
                <w:sz w:val="24"/>
                <w:szCs w:val="24"/>
              </w:rPr>
            </w:pPr>
            <w:r w:rsidDel="00000000" w:rsidR="00000000" w:rsidRPr="00000000">
              <w:rPr>
                <w:sz w:val="24"/>
                <w:szCs w:val="24"/>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20">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sz w:val="28"/>
                <w:szCs w:val="28"/>
              </w:rPr>
            </w:pPr>
            <w:r w:rsidDel="00000000" w:rsidR="00000000" w:rsidRPr="00000000">
              <w:rPr>
                <w:sz w:val="28"/>
                <w:szCs w:val="28"/>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sz w:val="28"/>
                <w:szCs w:val="28"/>
              </w:rPr>
            </w:pPr>
            <w:r w:rsidDel="00000000" w:rsidR="00000000" w:rsidRPr="00000000">
              <w:rPr>
                <w:sz w:val="28"/>
                <w:szCs w:val="28"/>
              </w:rPr>
              <mc:AlternateContent>
                <mc:Choice Requires="wpg">
                  <w:drawing>
                    <wp:inline distB="114300" distT="114300" distL="114300" distR="114300">
                      <wp:extent cx="564560" cy="257207"/>
                      <wp:effectExtent b="0" l="0" r="0" t="0"/>
                      <wp:docPr id="1" name=""/>
                      <a:graphic>
                        <a:graphicData uri="http://schemas.microsoft.com/office/word/2010/wordprocessingShape">
                          <wps:wsp>
                            <wps:cNvSpPr/>
                            <wps:cNvPr id="2" name="Shape 2"/>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1"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sz w:val="28"/>
                <w:szCs w:val="28"/>
              </w:rPr>
            </w:pPr>
            <w:r w:rsidDel="00000000" w:rsidR="00000000" w:rsidRPr="00000000">
              <w:rPr>
                <w:sz w:val="28"/>
                <w:szCs w:val="28"/>
                <w:rtl w:val="0"/>
              </w:rPr>
              <w:t xml:space="preserve">Mashal Joyaa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sz w:val="28"/>
                <w:szCs w:val="28"/>
              </w:rPr>
            </w:pPr>
            <w:r w:rsidDel="00000000" w:rsidR="00000000" w:rsidRPr="00000000">
              <w:rPr>
                <w:sz w:val="28"/>
                <w:szCs w:val="28"/>
                <w:rtl w:val="0"/>
              </w:rPr>
              <w:t xml:space="preserve">500916031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sz w:val="28"/>
                <w:szCs w:val="28"/>
              </w:rPr>
            </w:pPr>
            <w:r w:rsidDel="00000000" w:rsidR="00000000" w:rsidRPr="00000000">
              <w:rPr>
                <w:sz w:val="28"/>
                <w:szCs w:val="28"/>
                <w:rtl w:val="0"/>
              </w:rPr>
              <w:t xml:space="preserve">MJ</w:t>
            </w:r>
          </w:p>
        </w:tc>
      </w:tr>
    </w:tbl>
    <w:p w:rsidR="00000000" w:rsidDel="00000000" w:rsidP="00000000" w:rsidRDefault="00000000" w:rsidRPr="00000000" w14:paraId="00000027">
      <w:pPr>
        <w:jc w:val="center"/>
        <w:rPr>
          <w:sz w:val="28"/>
          <w:szCs w:val="28"/>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*By signing above you attest that you have contributed to this submission and confirm that all</w:t>
      </w:r>
    </w:p>
    <w:p w:rsidR="00000000" w:rsidDel="00000000" w:rsidP="00000000" w:rsidRDefault="00000000" w:rsidRPr="00000000" w14:paraId="00000029">
      <w:pPr>
        <w:rPr/>
      </w:pPr>
      <w:r w:rsidDel="00000000" w:rsidR="00000000" w:rsidRPr="00000000">
        <w:rPr>
          <w:rtl w:val="0"/>
        </w:rPr>
        <w:t xml:space="preserve">work you have contributed to this submission is your own work. Any suspicion of copying or</w:t>
      </w:r>
    </w:p>
    <w:p w:rsidR="00000000" w:rsidDel="00000000" w:rsidP="00000000" w:rsidRDefault="00000000" w:rsidRPr="00000000" w14:paraId="0000002A">
      <w:pPr>
        <w:rPr/>
      </w:pPr>
      <w:r w:rsidDel="00000000" w:rsidR="00000000" w:rsidRPr="00000000">
        <w:rPr>
          <w:rtl w:val="0"/>
        </w:rPr>
        <w:t xml:space="preserve">plagiarism in this work will result in an investigation of Academic Misconduct and may result</w:t>
      </w:r>
    </w:p>
    <w:p w:rsidR="00000000" w:rsidDel="00000000" w:rsidP="00000000" w:rsidRDefault="00000000" w:rsidRPr="00000000" w14:paraId="0000002B">
      <w:pPr>
        <w:rPr/>
      </w:pPr>
      <w:r w:rsidDel="00000000" w:rsidR="00000000" w:rsidRPr="00000000">
        <w:rPr>
          <w:rtl w:val="0"/>
        </w:rPr>
        <w:t xml:space="preserve">in a “0” on the work, an “F” in the course, or possibly more severe penalties, as well as a</w:t>
      </w:r>
    </w:p>
    <w:p w:rsidR="00000000" w:rsidDel="00000000" w:rsidP="00000000" w:rsidRDefault="00000000" w:rsidRPr="00000000" w14:paraId="0000002C">
      <w:pPr>
        <w:rPr/>
      </w:pPr>
      <w:r w:rsidDel="00000000" w:rsidR="00000000" w:rsidRPr="00000000">
        <w:rPr>
          <w:rtl w:val="0"/>
        </w:rPr>
        <w:t xml:space="preserve">Disciplinary Notice on your academic record under the Student Code of Academic Conduct,</w:t>
      </w:r>
    </w:p>
    <w:p w:rsidR="00000000" w:rsidDel="00000000" w:rsidP="00000000" w:rsidRDefault="00000000" w:rsidRPr="00000000" w14:paraId="0000002D">
      <w:pPr>
        <w:rPr/>
      </w:pPr>
      <w:r w:rsidDel="00000000" w:rsidR="00000000" w:rsidRPr="00000000">
        <w:rPr>
          <w:rtl w:val="0"/>
        </w:rPr>
        <w:t xml:space="preserve">which can be found online at:</w:t>
      </w:r>
    </w:p>
    <w:p w:rsidR="00000000" w:rsidDel="00000000" w:rsidP="00000000" w:rsidRDefault="00000000" w:rsidRPr="00000000" w14:paraId="0000002E">
      <w:pPr>
        <w:rPr>
          <w:rFonts w:ascii="Times New Roman" w:cs="Times New Roman" w:eastAsia="Times New Roman" w:hAnsi="Times New Roman"/>
          <w:b w:val="1"/>
          <w:bCs w:val="1"/>
          <w:sz w:val="24"/>
          <w:szCs w:val="24"/>
          <w:u w:val="single"/>
        </w:rPr>
      </w:pPr>
      <w:hyperlink r:id="rId7">
        <w:r w:rsidDel="00000000" w:rsidR="00000000" w:rsidRPr="00000000">
          <w:rPr>
            <w:color w:val="1155cc"/>
            <w:u w:val="single"/>
            <w:rtl w:val="0"/>
          </w:rPr>
          <w:t xml:space="preserve">https://www.torontomu.ca/senate/policies/pol60.pdf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F">
      <w:pPr>
        <w:pStyle w:val="Heading2"/>
        <w:rPr>
          <w:rFonts w:ascii="Times New Roman" w:cs="Times New Roman" w:eastAsia="Times New Roman" w:hAnsi="Times New Roman"/>
        </w:rPr>
      </w:pPr>
      <w:bookmarkStart w:colFirst="0" w:colLast="0" w:name="_lt367axuxp1k" w:id="0"/>
      <w:bookmarkEnd w:id="0"/>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Protection in power systems is extremely important when considering safety in the workplace, or when determining stability and continuity of the system. Three phase, single line-to-line, and double-line-to-ground faults can cause extreme damage if not detected and cleared properly. Relays and circuit breakers are critical when isolating faulted sections or minimizing impact on the rest of the design. </w:t>
      </w:r>
      <w:r w:rsidDel="00000000" w:rsidR="00000000" w:rsidRPr="00000000">
        <w:rPr>
          <w:rtl w:val="0"/>
        </w:rPr>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project 2 focuses on the same power network explored in lab project 1. The different areas focused on in this lab include the different relaying schemes, consisting of the underreaching zone 1, overreaching zone 2, and reverse-blocking zone 3. Then, the overcurrent protection for a Recloser R78 and accompanying breaker is studied in the load 2 distribution network. Lastly, the transformer and bus protection in the load 3 network are studied. Based on the assigned group impedance data, specific relay settings are calculated and implemented into the simulation of the network on ETAP. </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fault scenarios are simulated to verify and test the design. This is done using fault scenarios at various busses, line midpoints, or terminals. The different fault scenarios include single line-to-ground, line-to-line, and three-phase faults. </w:t>
      </w:r>
      <w:r w:rsidDel="00000000" w:rsidR="00000000" w:rsidRPr="00000000">
        <w:rPr>
          <w:rtl w:val="0"/>
        </w:rPr>
      </w:r>
    </w:p>
    <w:p w:rsidR="00000000" w:rsidDel="00000000" w:rsidP="00000000" w:rsidRDefault="00000000" w:rsidRPr="00000000" w14:paraId="00000033">
      <w:pPr>
        <w:pStyle w:val="Heading2"/>
        <w:rPr>
          <w:rFonts w:ascii="Times New Roman" w:cs="Times New Roman" w:eastAsia="Times New Roman" w:hAnsi="Times New Roman"/>
        </w:rPr>
      </w:pPr>
      <w:bookmarkStart w:colFirst="0" w:colLast="0" w:name="_93tm9g17h58y" w:id="1"/>
      <w:bookmarkEnd w:id="1"/>
      <w:r w:rsidDel="00000000" w:rsidR="00000000" w:rsidRPr="00000000">
        <w:rPr>
          <w:rFonts w:ascii="Times New Roman" w:cs="Times New Roman" w:eastAsia="Times New Roman" w:hAnsi="Times New Roman"/>
          <w:rtl w:val="0"/>
        </w:rPr>
        <w:t xml:space="preserve">Results </w:t>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drawing>
          <wp:inline distB="114300" distT="114300" distL="114300" distR="114300">
            <wp:extent cx="5943600" cy="3098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t xml:space="preserve">Figure 1: Load Flow Results for “Figure 4”, Load 3 Network of Figure 1 from Lab Manual</w:t>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drawing>
          <wp:inline distB="114300" distT="114300" distL="114300" distR="114300">
            <wp:extent cx="5943600" cy="31369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t xml:space="preserve">Figure 2:  Bus 11 fault results  for “Figure 4”, Load 3 Network from Figure 1 from Lab Manual</w:t>
      </w:r>
      <w:r w:rsidDel="00000000" w:rsidR="00000000" w:rsidRPr="00000000">
        <w:rPr>
          <w:rtl w:val="0"/>
        </w:rPr>
      </w:r>
    </w:p>
    <w:p w:rsidR="00000000" w:rsidDel="00000000" w:rsidP="00000000" w:rsidRDefault="00000000" w:rsidRPr="00000000" w14:paraId="0000003A">
      <w:pPr>
        <w:pStyle w:val="Heading2"/>
        <w:rPr>
          <w:rFonts w:ascii="Times New Roman" w:cs="Times New Roman" w:eastAsia="Times New Roman" w:hAnsi="Times New Roman"/>
        </w:rPr>
      </w:pPr>
      <w:bookmarkStart w:colFirst="0" w:colLast="0" w:name="_e6hpetr0xadv" w:id="2"/>
      <w:bookmarkEnd w:id="2"/>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protection systems that were designed for the shown power networks were successfully designed, verified, and simulated across the different parts of this assignment. The calculations for the pilot relaying schemes of the transmission line breakers were accurately calculated and utilized for part 1, specifically those for the zone 1 underreaching, zone 2 overreaching, and zone 3 reverse-blocking processes. The correct and selective operation for the different fault scenarios highlighted were calculated and considered. The overcurrent protection for recloser R78 and breaker B27 in the load 2 network were successfully tested to verify the systems protections schemes accurately coordinated with one another for the different faults. Lastly, the transformer and bus protection designs for T11 and Bus 11 were accurately implemented and simulated on the ETAP software.</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granted further insight and analysis into power systems protections and controls, and was successfully accomplished. </w:t>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Style w:val="Heading2"/>
        <w:rPr>
          <w:rFonts w:ascii="Times New Roman" w:cs="Times New Roman" w:eastAsia="Times New Roman" w:hAnsi="Times New Roman"/>
        </w:rPr>
      </w:pPr>
      <w:bookmarkStart w:colFirst="0" w:colLast="0" w:name="_9xnx6l11eykl" w:id="3"/>
      <w:bookmarkEnd w:id="3"/>
      <w:r w:rsidDel="00000000" w:rsidR="00000000" w:rsidRPr="00000000">
        <w:rPr>
          <w:rtl w:val="0"/>
        </w:rPr>
      </w:r>
    </w:p>
    <w:p w:rsidR="00000000" w:rsidDel="00000000" w:rsidP="00000000" w:rsidRDefault="00000000" w:rsidRPr="00000000" w14:paraId="0000003F">
      <w:pPr>
        <w:pStyle w:val="Heading2"/>
        <w:rPr>
          <w:rFonts w:ascii="Times New Roman" w:cs="Times New Roman" w:eastAsia="Times New Roman" w:hAnsi="Times New Roman"/>
        </w:rPr>
      </w:pPr>
      <w:bookmarkStart w:colFirst="0" w:colLast="0" w:name="_vsioxwmif4hv" w:id="4"/>
      <w:bookmarkEnd w:id="4"/>
      <w:r w:rsidDel="00000000" w:rsidR="00000000" w:rsidRPr="00000000">
        <w:rPr>
          <w:rtl w:val="0"/>
        </w:rPr>
      </w:r>
    </w:p>
    <w:p w:rsidR="00000000" w:rsidDel="00000000" w:rsidP="00000000" w:rsidRDefault="00000000" w:rsidRPr="00000000" w14:paraId="00000040">
      <w:pPr>
        <w:pStyle w:val="Heading2"/>
        <w:rPr>
          <w:rFonts w:ascii="Times New Roman" w:cs="Times New Roman" w:eastAsia="Times New Roman" w:hAnsi="Times New Roman"/>
        </w:rPr>
      </w:pPr>
      <w:bookmarkStart w:colFirst="0" w:colLast="0" w:name="_9f0s3zsotz0g" w:id="5"/>
      <w:bookmarkEnd w:id="5"/>
      <w:r w:rsidDel="00000000" w:rsidR="00000000" w:rsidRPr="00000000">
        <w:rPr>
          <w:rtl w:val="0"/>
        </w:rPr>
      </w:r>
    </w:p>
    <w:p w:rsidR="00000000" w:rsidDel="00000000" w:rsidP="00000000" w:rsidRDefault="00000000" w:rsidRPr="00000000" w14:paraId="00000041">
      <w:pPr>
        <w:pStyle w:val="Heading2"/>
        <w:rPr>
          <w:rFonts w:ascii="Times New Roman" w:cs="Times New Roman" w:eastAsia="Times New Roman" w:hAnsi="Times New Roman"/>
        </w:rPr>
      </w:pPr>
      <w:bookmarkStart w:colFirst="0" w:colLast="0" w:name="_ixdpktauosjb" w:id="6"/>
      <w:bookmarkEnd w:id="6"/>
      <w:r w:rsidDel="00000000" w:rsidR="00000000" w:rsidRPr="00000000">
        <w:rPr>
          <w:rtl w:val="0"/>
        </w:rPr>
      </w:r>
    </w:p>
    <w:p w:rsidR="00000000" w:rsidDel="00000000" w:rsidP="00000000" w:rsidRDefault="00000000" w:rsidRPr="00000000" w14:paraId="00000042">
      <w:pPr>
        <w:pStyle w:val="Heading2"/>
        <w:rPr>
          <w:rFonts w:ascii="Times New Roman" w:cs="Times New Roman" w:eastAsia="Times New Roman" w:hAnsi="Times New Roman"/>
        </w:rPr>
      </w:pPr>
      <w:bookmarkStart w:colFirst="0" w:colLast="0" w:name="_y0dt1dn5j51n" w:id="7"/>
      <w:bookmarkEnd w:id="7"/>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rPr>
          <w:rFonts w:ascii="Times New Roman" w:cs="Times New Roman" w:eastAsia="Times New Roman" w:hAnsi="Times New Roman"/>
        </w:rPr>
      </w:pPr>
      <w:bookmarkStart w:colFirst="0" w:colLast="0" w:name="_j5wkpdjesf0r" w:id="8"/>
      <w:bookmarkEnd w:id="8"/>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 Department of Electrical Engineering, “ELE846 Lab Project 2: Protection Systems Design and Verification,” Lab Manual, Jan. 2026.</w:t>
      </w:r>
      <w:r w:rsidDel="00000000" w:rsidR="00000000" w:rsidRPr="00000000">
        <w:rPr>
          <w:rFonts w:ascii="Times New Roman" w:cs="Times New Roman" w:eastAsia="Times New Roman" w:hAnsi="Times New Roman"/>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rPr>
          <w:rFonts w:ascii="Times New Roman" w:cs="Times New Roman" w:eastAsia="Times New Roman" w:hAnsi="Times New Roman"/>
        </w:rPr>
      </w:pPr>
      <w:bookmarkStart w:colFirst="0" w:colLast="0" w:name="_85xiypozzyyy" w:id="9"/>
      <w:bookmarkEnd w:id="9"/>
      <w:r w:rsidDel="00000000" w:rsidR="00000000" w:rsidRPr="00000000">
        <w:rPr>
          <w:rFonts w:ascii="Times New Roman" w:cs="Times New Roman" w:eastAsia="Times New Roman" w:hAnsi="Times New Roman"/>
          <w:rtl w:val="0"/>
        </w:rPr>
        <w:t xml:space="preserve">Appendix (Calculations)</w:t>
      </w:r>
    </w:p>
    <w:p w:rsidR="00000000" w:rsidDel="00000000" w:rsidP="00000000" w:rsidRDefault="00000000" w:rsidRPr="00000000" w14:paraId="00000046">
      <w:pPr>
        <w:pStyle w:val="Heading3"/>
        <w:rPr/>
      </w:pPr>
      <w:bookmarkStart w:colFirst="0" w:colLast="0" w:name="_ritmchjdnrv8" w:id="10"/>
      <w:bookmarkEnd w:id="10"/>
      <w:r w:rsidDel="00000000" w:rsidR="00000000" w:rsidRPr="00000000">
        <w:rPr>
          <w:rtl w:val="0"/>
        </w:rPr>
        <w:t xml:space="preserve">Part 1)</w:t>
      </w:r>
    </w:p>
    <w:p w:rsidR="00000000" w:rsidDel="00000000" w:rsidP="00000000" w:rsidRDefault="00000000" w:rsidRPr="00000000" w14:paraId="00000047">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Pilot Protections</w:t>
      </w:r>
    </w:p>
    <w:p w:rsidR="00000000" w:rsidDel="00000000" w:rsidP="00000000" w:rsidRDefault="00000000" w:rsidRPr="00000000" w14:paraId="00000048">
      <w:pP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Fault on 60% Line12</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three-phase fault occurring on Line12 at 60% from Bus1 to Bus2 is detected,</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both BreakerB12 relay and BreakerB21 relay initiate the Underreaching Zone1 relaying and operate both breakers to open immediately.</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both BreakerB12 relay and BreakerB21 relay initiate the Overreaching Zone2 relaying and send a permissive signal to each other to operate both breakers to open in 25 ms, but both breakers are already open due to Zone1.</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BreakerB23 relay initiates the Reverse-blocking Zone3 relaying, and BreakerB23 is not to open due to Zone3.</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Fault on 90% Line12</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three-phase fault occurring on Line12 at 90% from Bus1 to Bus2 is detected,</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BreakerB21 relay initiates the Underreaching Zone1 relaying and operates BreakerB21 to open immediately.</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both BreakerB12 relay and BreakerB21 relay initiate the Overreaching Zone2 relaying and send a permissive signal to each other to operate both breakers to open in 25 ms, but BreakerB21 is already open due to Zone1 and therefore BreakerB12 opens in 25 ms after receiving a permissive signal from B21 relay.</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BreakerB23 relay initiates the Reverse-blocking Zone3 relaying, and BreakerB23 is not to open due to Zone3.</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Fault on 10% Line23 (or 110% Line12)</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three-phase fault occurring on Line23 at 10% from Bus2 to Bus3 is detected,</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BreakerB23 relay initiates the Underreaching Zone1 relaying and operates to open immediately.</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BreakerB21 relay initiates the Reverse-blocking Zone3 relaying, and BreakerB21 is not to open due to Zone3.</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BreakerB12 relay initiates the Overreaching Zone2 relaying, but B12 relay does not receive any permissive signal from BreakerB21 relay due to Zone3.</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If BreakerB23 fails to open, BreakerB12 relay will operate to open BreakerB12 in 0.4 s even though B12 relay does not receive any permissive signal.</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Fault on 40% Line23 (or 140% Line12)</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three-phase fault occurring on Line23 at 40% from Bus2 to Bus3 is detected,</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BreakerB23 relay initiates the Underreaching Zone1 relaying and operates to open immediately.</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BreakerB21 relay initiates the Reverse-blocking Zone3 relaying, and BreakerB21 is not to open due to Zone3.</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BreakerB12 relay is not in Zone1, Zone2, or Zone3, therefore not to open.</w:t>
      </w:r>
    </w:p>
    <w:p w:rsidR="00000000" w:rsidDel="00000000" w:rsidP="00000000" w:rsidRDefault="00000000" w:rsidRPr="00000000" w14:paraId="00000060">
      <w:pPr>
        <w:pStyle w:val="Heading3"/>
        <w:rPr/>
      </w:pPr>
      <w:bookmarkStart w:colFirst="0" w:colLast="0" w:name="_w5njzfln0nu5" w:id="11"/>
      <w:bookmarkEnd w:id="11"/>
      <w:r w:rsidDel="00000000" w:rsidR="00000000" w:rsidRPr="00000000">
        <w:rPr>
          <w:rtl w:val="0"/>
        </w:rPr>
        <w:t xml:space="preserve">Part 2)</w:t>
      </w:r>
    </w:p>
    <w:p w:rsidR="00000000" w:rsidDel="00000000" w:rsidP="00000000" w:rsidRDefault="00000000" w:rsidRPr="00000000" w14:paraId="00000061">
      <w:pPr>
        <w:rPr/>
      </w:pPr>
      <w:r w:rsidDel="00000000" w:rsidR="00000000" w:rsidRPr="00000000">
        <w:rPr/>
        <w:drawing>
          <wp:inline distB="114300" distT="114300" distL="114300" distR="114300">
            <wp:extent cx="5943600" cy="7518400"/>
            <wp:effectExtent b="0" l="0" r="0" t="0"/>
            <wp:docPr id="6"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943600" cy="7518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943600" cy="7772400"/>
            <wp:effectExtent b="0" l="0" r="0" t="0"/>
            <wp:docPr id="5"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943600"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3"/>
        <w:rPr/>
      </w:pPr>
      <w:bookmarkStart w:colFirst="0" w:colLast="0" w:name="_velsjr3ykwkd" w:id="12"/>
      <w:bookmarkEnd w:id="12"/>
      <w:r w:rsidDel="00000000" w:rsidR="00000000" w:rsidRPr="00000000">
        <w:rPr>
          <w:rtl w:val="0"/>
        </w:rPr>
        <w:t xml:space="preserve">Part 3)</w:t>
      </w:r>
      <w:r w:rsidDel="00000000" w:rsidR="00000000" w:rsidRPr="00000000">
        <w:rPr/>
        <w:drawing>
          <wp:inline distB="114300" distT="114300" distL="114300" distR="114300">
            <wp:extent cx="5943600" cy="7683500"/>
            <wp:effectExtent b="0" l="0" r="0" t="0"/>
            <wp:docPr id="7"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943600" cy="7683500"/>
                    </a:xfrm>
                    <a:prstGeom prst="rect"/>
                    <a:ln/>
                  </pic:spPr>
                </pic:pic>
              </a:graphicData>
            </a:graphic>
          </wp:inline>
        </w:drawing>
      </w:r>
      <w:r w:rsidDel="00000000" w:rsidR="00000000" w:rsidRPr="00000000">
        <w:rPr>
          <w:rtl w:val="0"/>
        </w:rPr>
      </w:r>
    </w:p>
    <w:sectPr>
      <w:headerReference r:id="rId13" w:type="default"/>
      <w:headerReference r:id="rId14" w:type="first"/>
      <w:footerReference r:id="rId1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center"/>
      <w:rPr/>
    </w:pPr>
    <w:r w:rsidDel="00000000" w:rsidR="00000000" w:rsidRPr="00000000">
      <w:rPr/>
      <w:drawing>
        <wp:inline distB="114300" distT="114300" distL="114300" distR="114300">
          <wp:extent cx="2390585" cy="1013552"/>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90585" cy="101355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4.jpg"/><Relationship Id="rId13" Type="http://schemas.openxmlformats.org/officeDocument/2006/relationships/header" Target="header1.xml"/><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yperlink" Target="https://www.torontomu.ca/senate/policies/pol60.pdf" TargetMode="External"/><Relationship Id="rId8"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