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ELE846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Power Systems Protection Control</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Richard Cheung</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#3</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left"/>
              <w:rPr>
                <w:sz w:val="28"/>
                <w:szCs w:val="28"/>
              </w:rPr>
            </w:pPr>
            <w:r w:rsidDel="00000000" w:rsidR="00000000" w:rsidRPr="00000000">
              <w:rPr>
                <w:sz w:val="28"/>
                <w:szCs w:val="28"/>
                <w:rtl w:val="0"/>
              </w:rPr>
              <w:t xml:space="preserve">ELE846 Lab Project 3:</w:t>
            </w:r>
          </w:p>
          <w:p w:rsidR="00000000" w:rsidDel="00000000" w:rsidP="00000000" w:rsidRDefault="00000000" w:rsidRPr="00000000" w14:paraId="00000015">
            <w:pPr>
              <w:widowControl w:val="0"/>
              <w:spacing w:line="240" w:lineRule="auto"/>
              <w:jc w:val="left"/>
              <w:rPr>
                <w:sz w:val="28"/>
                <w:szCs w:val="28"/>
              </w:rPr>
            </w:pPr>
            <w:r w:rsidDel="00000000" w:rsidR="00000000" w:rsidRPr="00000000">
              <w:rPr>
                <w:sz w:val="28"/>
                <w:szCs w:val="28"/>
                <w:rtl w:val="0"/>
              </w:rPr>
              <w:t xml:space="preserve">Protection Systems Design and Verification</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April 6,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April 6, 2026</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8"/>
                <w:szCs w:val="28"/>
              </w:rPr>
            </w:pPr>
            <w:r w:rsidDel="00000000" w:rsidR="00000000" w:rsidRPr="00000000">
              <w:rPr>
                <w:sz w:val="28"/>
                <w:szCs w:val="28"/>
                <w:rtl w:val="0"/>
              </w:rPr>
              <w:t xml:space="preserve">Mashal Joyaa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8"/>
                <w:szCs w:val="28"/>
              </w:rPr>
            </w:pPr>
            <w:r w:rsidDel="00000000" w:rsidR="00000000" w:rsidRPr="00000000">
              <w:rPr>
                <w:sz w:val="28"/>
                <w:szCs w:val="28"/>
                <w:rtl w:val="0"/>
              </w:rPr>
              <w:t xml:space="preserve">500916031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MJ</w:t>
            </w:r>
          </w:p>
        </w:tc>
      </w:tr>
    </w:tbl>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9">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A">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B">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C">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D">
      <w:pPr>
        <w:rPr/>
      </w:pPr>
      <w:r w:rsidDel="00000000" w:rsidR="00000000" w:rsidRPr="00000000">
        <w:rPr>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lt367axuxp1k"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systems protection control is crucial for creating a stable, reliable, and safe modern electrical network. With many generators and transmission lines, issues such as faults and sudden load changes can impact the overall performance. Effective protection methods and control strategies need to be implemented to ensure system stability and to prevent equipment damage.</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designs a protection system within a multi-machine power network using three generators, multiple transformers, and a load center modeled as an infinite bus. The study explores two main concepts: transient stability control and turbine-governor response under changing load conditions. The first, transient stability control makes sure the system can withstand severe disturbances like faults on transmission lines (without losing synchronization). Turbine-governor control plays a key role in regulating system frequency and redistributing generation following load variations.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designs a transient stability control strategy for Generator G1 under worst-case fault conditions. This develops a protection scheme for instability prevention and response analysis while determining the maximum load capacity without exceeding generator limits. Overall, this experiment provides a comprehensive understanding of coordinated protection and control in power systems.</w:t>
      </w: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rPr>
      </w:pPr>
      <w:bookmarkStart w:colFirst="0" w:colLast="0" w:name="_93tm9g17h58y" w:id="1"/>
      <w:bookmarkEnd w:id="1"/>
      <w:r w:rsidDel="00000000" w:rsidR="00000000" w:rsidRPr="00000000">
        <w:rPr>
          <w:rFonts w:ascii="Times New Roman" w:cs="Times New Roman" w:eastAsia="Times New Roman" w:hAnsi="Times New Roman"/>
          <w:rtl w:val="0"/>
        </w:rPr>
        <w:t xml:space="preserve">Results </w:t>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2771775"/>
            <wp:effectExtent b="0" l="0" r="0" t="0"/>
            <wp:docPr id="7" name="image7.png"/>
            <a:graphic>
              <a:graphicData uri="http://schemas.openxmlformats.org/drawingml/2006/picture">
                <pic:pic>
                  <pic:nvPicPr>
                    <pic:cNvPr id="0" name="image7.png"/>
                    <pic:cNvPicPr preferRelativeResize="0"/>
                  </pic:nvPicPr>
                  <pic:blipFill>
                    <a:blip r:embed="rId8"/>
                    <a:srcRect b="17094" l="0" r="45673" t="0"/>
                    <a:stretch>
                      <a:fillRect/>
                    </a:stretch>
                  </pic:blipFill>
                  <pic:spPr>
                    <a:xfrm>
                      <a:off x="0" y="0"/>
                      <a:ext cx="32289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ETAP load flow results for Lab 3, Part 1.</w:t>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ETAP star view of protection and coordination for Bus 14b.</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ETAP star view of protection and coordination for Bus 14a.</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 ETAP star view of protection and coordination for Bus 2.</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ETAP star protection coordination diagram for Bus 3.</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e6hpetr0xadv" w:id="2"/>
      <w:bookmarkEnd w:id="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multi-machine network has system protection and control developed. Transient stability control design shows the importance of fast fault detection while maintaining the system’s synchronization (mainly under worst-case G1 scenarios). The protection for Bus 1 and 4 ensures this security and stability.</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analysis, dynamic interaction between load changes and generator outputs was observed. After a large increase in load demand, the generators properly redistributed the power according to their droop characteristics, ultimately restoring system frequency to its nominal value. This behavior proves frequency control is extremely effective in regards to system balance.</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maximum load capacity at bus 4 was found, and emphasized operational limits of the generators and the necessity of respecting these constraints to avoid overloading. To conclude, the project illustrates the importance of coordinated protection control for a stable and reliable power system [1]. </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9xnx6l11eykl" w:id="3"/>
      <w:bookmarkEnd w:id="3"/>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d1ipbkf6rvv2" w:id="4"/>
      <w:bookmarkEnd w:id="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[1] ELE846 Lab Manual, “Protection Systems Design and Verification,” 2026.</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85xiypozzyyy" w:id="5"/>
      <w:bookmarkEnd w:id="5"/>
      <w:r w:rsidDel="00000000" w:rsidR="00000000" w:rsidRPr="00000000">
        <w:rPr>
          <w:rFonts w:ascii="Times New Roman" w:cs="Times New Roman" w:eastAsia="Times New Roman" w:hAnsi="Times New Roman"/>
          <w:rtl w:val="0"/>
        </w:rPr>
        <w:t xml:space="preserve">Appendix (Calculations)</w:t>
      </w:r>
    </w:p>
    <w:p w:rsidR="00000000" w:rsidDel="00000000" w:rsidP="00000000" w:rsidRDefault="00000000" w:rsidRPr="00000000" w14:paraId="00000068">
      <w:pPr>
        <w:pStyle w:val="Heading3"/>
        <w:rPr/>
      </w:pPr>
      <w:bookmarkStart w:colFirst="0" w:colLast="0" w:name="_velsjr3ykwkd" w:id="6"/>
      <w:bookmarkEnd w:id="6"/>
      <w:r w:rsidDel="00000000" w:rsidR="00000000" w:rsidRPr="00000000">
        <w:rPr>
          <w:rtl w:val="0"/>
        </w:rPr>
        <w:t xml:space="preserve">Part 1)</w:t>
      </w:r>
    </w:p>
    <w:p w:rsidR="00000000" w:rsidDel="00000000" w:rsidP="00000000" w:rsidRDefault="00000000" w:rsidRPr="00000000" w14:paraId="00000069">
      <w:pPr>
        <w:rPr/>
      </w:pPr>
      <w:r w:rsidDel="00000000" w:rsidR="00000000" w:rsidRPr="00000000">
        <w:rPr/>
        <w:drawing>
          <wp:inline distB="114300" distT="114300" distL="114300" distR="114300">
            <wp:extent cx="5800725" cy="725805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00725"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819775" cy="761047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19775" cy="7610475"/>
                    </a:xfrm>
                    <a:prstGeom prst="rect"/>
                    <a:ln/>
                  </pic:spPr>
                </pic:pic>
              </a:graphicData>
            </a:graphic>
          </wp:inline>
        </w:drawing>
      </w:r>
      <w:r w:rsidDel="00000000" w:rsidR="00000000" w:rsidRPr="00000000">
        <w:rPr/>
        <w:drawing>
          <wp:inline distB="114300" distT="114300" distL="114300" distR="114300">
            <wp:extent cx="5848350" cy="76581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48350" cy="7658100"/>
                    </a:xfrm>
                    <a:prstGeom prst="rect"/>
                    <a:ln/>
                  </pic:spPr>
                </pic:pic>
              </a:graphicData>
            </a:graphic>
          </wp:inline>
        </w:drawing>
      </w:r>
      <w:r w:rsidDel="00000000" w:rsidR="00000000" w:rsidRPr="00000000">
        <w:rPr/>
        <w:drawing>
          <wp:inline distB="114300" distT="114300" distL="114300" distR="114300">
            <wp:extent cx="5848350" cy="767715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48350" cy="7677150"/>
                    </a:xfrm>
                    <a:prstGeom prst="rect"/>
                    <a:ln/>
                  </pic:spPr>
                </pic:pic>
              </a:graphicData>
            </a:graphic>
          </wp:inline>
        </w:drawing>
      </w:r>
      <w:r w:rsidDel="00000000" w:rsidR="00000000" w:rsidRPr="00000000">
        <w:rPr/>
        <w:drawing>
          <wp:inline distB="114300" distT="114300" distL="114300" distR="114300">
            <wp:extent cx="5762625" cy="20955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626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rPr/>
      </w:pPr>
      <w:bookmarkStart w:colFirst="0" w:colLast="0" w:name="_h68u84mgm8y0" w:id="7"/>
      <w:bookmarkEnd w:id="7"/>
      <w:r w:rsidDel="00000000" w:rsidR="00000000" w:rsidRPr="00000000">
        <w:rPr>
          <w:rtl w:val="0"/>
        </w:rPr>
        <w:t xml:space="preserve">Part 2)</w:t>
      </w:r>
    </w:p>
    <w:p w:rsidR="00000000" w:rsidDel="00000000" w:rsidP="00000000" w:rsidRDefault="00000000" w:rsidRPr="00000000" w14:paraId="0000006C">
      <w:pPr>
        <w:rPr/>
      </w:pPr>
      <w:r w:rsidDel="00000000" w:rsidR="00000000" w:rsidRPr="00000000">
        <w:rPr/>
        <w:drawing>
          <wp:inline distB="114300" distT="114300" distL="114300" distR="114300">
            <wp:extent cx="5943600" cy="7632700"/>
            <wp:effectExtent b="0" l="0" r="0" t="0"/>
            <wp:docPr id="2"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7632700"/>
                    </a:xfrm>
                    <a:prstGeom prst="rect"/>
                    <a:ln/>
                  </pic:spPr>
                </pic:pic>
              </a:graphicData>
            </a:graphic>
          </wp:inline>
        </w:drawing>
      </w:r>
      <w:r w:rsidDel="00000000" w:rsidR="00000000" w:rsidRPr="00000000">
        <w:rPr>
          <w:rtl w:val="0"/>
        </w:rPr>
      </w:r>
    </w:p>
    <w:sectPr>
      <w:headerReference r:id="rId19" w:type="default"/>
      <w:headerReference r:id="rId20" w:type="firs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8.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3.png"/><Relationship Id="rId18" Type="http://schemas.openxmlformats.org/officeDocument/2006/relationships/image" Target="media/image12.jpg"/><Relationship Id="rId7" Type="http://schemas.openxmlformats.org/officeDocument/2006/relationships/hyperlink" Target="https://www.torontomu.ca/senate/policies/pol60.pdf" TargetMode="External"/><Relationship Id="rId8"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