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Executive Summary — Decoding Customer Value</w:t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Is this brand building loyalty, or renting customers with discounts?</w:t>
      </w:r>
    </w:p>
    <w:p>
      <w:pPr>
        <w:pStyle w:val="Heading2"/>
        <w:spacing w:after="80" w:before="160"/>
      </w:pPr>
      <w:r>
        <w:t xml:space="preserve">Answer</w:t>
      </w:r>
    </w:p>
    <w:p>
      <w:pPr>
        <w:spacing w:after="100"/>
      </w:pPr>
      <w:r>
        <w:rPr>
          <w:sz w:val="20"/>
          <w:szCs w:val="20"/>
        </w:rPr>
        <w:t xml:space="preserve">A mix of both, but not evenly. Engagement (how often customers buy, whether they subscribe) is almost entirely discount-dependent — the most engaged customers use a discount on essentially every purchase. But that discount spend is not converting into extra realized value: estimated lifetime value is nearly flat (~$1,500) across engagement tiers. The brand is currently paying for engagement it isn't monetizing.</w:t>
      </w:r>
    </w:p>
    <w:p>
      <w:pPr>
        <w:pStyle w:val="Heading2"/>
        <w:spacing w:after="80" w:before="160"/>
      </w:pPr>
      <w:r>
        <w:t xml:space="preserve">Method</w:t>
      </w:r>
    </w:p>
    <w:p>
      <w:pPr>
        <w:spacing w:after="100"/>
      </w:pPr>
      <w:r>
        <w:rPr>
          <w:sz w:val="20"/>
          <w:szCs w:val="20"/>
        </w:rPr>
        <w:t xml:space="preserve">Since the dataset has no built-in loyalty score, two competing loyalty definitions were constructed and tested: (A) Engagement Loyalty, from purchase frequency + subscription status, and (B) Value/Tenure Loyalty, from previous purchase count + spend. The two definitions agree on only 33.6% of customers — proving loyalty is not a single measurable thing in this data. Definition A was selected as the primary lens because it, unlike B, cleanly separates discount-dependent customers (22% → 43% → 100% discount usage across its three tiers), directly answering the brand's core question.</w:t>
      </w:r>
    </w:p>
    <w:p>
      <w:pPr>
        <w:pStyle w:val="Heading2"/>
        <w:spacing w:after="80" w:before="160"/>
      </w:pPr>
      <w:r>
        <w:t xml:space="preserve">Key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High Engagement customers (599, ~15% of base) are 100% discount-reliant, but their estimated LTV ($1,544) is statistically the same as low-engagement customers ($1,514) — the discount is not buying incremental spend.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Customer value is evenly split into thirds by construction (Low/Mid/High Value tiers, ~1,300 each), but discount usage does NOT vary by value tier (~43% flat) — spend and discount-reliance are separate axes.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Category and season show no meaningful relationship with customer tenure — Clothing dominates both high- and low-tenure groups almost identically. No entry-point vs. retention category pattern was found; reported as a null result rather than forced.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Geography shows real signal: Arizona, Kansas, and Alaska customers spend well with comparatively low discount reliance (organic demand). Indiana, Oregon, and Wisconsin show the opposite — high discount reliance relative to spend.</w:t>
      </w:r>
    </w:p>
    <w:p>
      <w:pPr>
        <w:pStyle w:val="Heading2"/>
        <w:spacing w:after="80" w:before="160"/>
      </w:pPr>
      <w:r>
        <w:t xml:space="preserve">Recommendation</w:t>
      </w:r>
    </w:p>
    <w:p>
      <w:pPr>
        <w:spacing w:after="100"/>
      </w:pPr>
      <w:r>
        <w:rPr>
          <w:sz w:val="20"/>
          <w:szCs w:val="20"/>
        </w:rPr>
        <w:t xml:space="preserve">Run a phased discount reduction on the High Engagement segment specifically (detailed rollout in the accompanying Retention Playbook), while reallocating a portion of promo budget toward organic-demand states. Track cohort-level purchase frequency weekly during rollout, with a control group, to confirm engagement holds as discounts taper.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2026-08-16T07:38:56.291Z</dcterms:created>
  <dcterms:modified xsi:type="dcterms:W3CDTF">2026-08-16T07:38:56.291Z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