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Retention Playbook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Decoding Customer Value — D2C Fashion Brand</w:t>
      </w:r>
    </w:p>
    <w:p>
      <w:pPr>
        <w:pStyle w:val="Heading1"/>
        <w:spacing w:after="150" w:before="300"/>
      </w:pPr>
      <w:r>
        <w:t xml:space="preserve">1. Promotional Sunset Plan</w:t>
      </w:r>
    </w:p>
    <w:p>
      <w:pPr>
        <w:spacing w:after="120"/>
      </w:pPr>
      <w:r>
        <w:t xml:space="preserve">Segment to target: High Engagement customers (loyalty_A = "High Engagement"), defined as customers who are subscribed AND purchase Weekly or Bi-Weekly. This segment is 599 customers (~15% of the base).</w:t>
      </w:r>
    </w:p>
    <w:p>
      <w:pPr>
        <w:spacing w:after="120"/>
      </w:pPr>
      <w:r>
        <w:t xml:space="preserve">Why this segment specifically: 100% of High Engagement customers currently use a discount on their purchases — the highest reliance rate of any segment. Yet their estimated lifetime value (avg. purchase amount x previous purchases) is $1,544, statistically indistinguishable from Medium Engagement ($1,512) and Low Engagement ($1,514) customers. In plain terms: the brand is paying full discount cost to "engage" this group, but is not capturing any incremental revenue for it relative to less-discounted segments. This is the clearest, most defensible discount-reduction opportunity in the data.</w:t>
      </w:r>
    </w:p>
    <w:p>
      <w:pPr>
        <w:spacing w:after="120"/>
      </w:pPr>
      <w:r>
        <w:t xml:space="preserve">Trigger behavior: any customer who is both (a) Subscribed = Yes and (b) Frequency of Purchases = Weekly or Bi-Weekly enters the sunset cohort.</w:t>
      </w:r>
    </w:p>
    <w:p>
      <w:pPr>
        <w:pStyle w:val="Heading2"/>
        <w:spacing w:after="120" w:before="250"/>
      </w:pPr>
      <w:r>
        <w:t xml:space="preserve">Rollout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 1: Reduce discount depth by 25% for the sunset cohort only (e.g. a 20% discount becomes 15%). Track weekly.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 2: If avg. purchase amount and purchase frequency for the cohort hold within 5% of baseline, reduce a further 25% (cumulative 50% reduction).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 3: If metrics still hold, reduce to a token/loyalty-only discount (10% of original depth). This is the target steady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any point, if avg. purchase frequency drops more than 10% week-over-week for two consecutive weeks, pause the rollout and revert one step.</w:t>
      </w:r>
    </w:p>
    <w:p>
      <w:pPr>
        <w:pStyle w:val="Heading2"/>
        <w:spacing w:after="120" w:before="250"/>
      </w:pPr>
      <w:r>
        <w:t xml:space="preserve">Metric to track</w:t>
      </w:r>
    </w:p>
    <w:p>
      <w:pPr>
        <w:spacing w:after="120"/>
      </w:pPr>
      <w:r>
        <w:t xml:space="preserve">Weekly avg. purchase amount and purchase frequency for the sunset cohort specifically (not the whole customer base — diluting with unaffected segments would hide a real drop). Report alongside a control group of similar customers NOT in the sunset cohort, to separate seasonal effects from the discount-reduction effect.</w:t>
      </w:r>
    </w:p>
    <w:p>
      <w:pPr>
        <w:pStyle w:val="Heading1"/>
        <w:spacing w:after="150" w:before="300"/>
      </w:pPr>
      <w:r>
        <w:t xml:space="preserve">2. Ideal Customer Profile</w:t>
      </w:r>
    </w:p>
    <w:p>
      <w:pPr>
        <w:spacing w:after="120"/>
      </w:pPr>
      <w:r>
        <w:t xml:space="preserve">The data does not support a single dominant "ideal customer" archetype — no age band, gender, or category combination stands out sharply among High Engagement + High Value customers (the intersection is fairly evenly spread). This is reported honestly rather than forcing a persona the data doesn't support.</w:t>
      </w:r>
    </w:p>
    <w:p>
      <w:pPr>
        <w:spacing w:after="120"/>
      </w:pPr>
      <w:r>
        <w:t xml:space="preserve">What the data does support is a geographic targeting profile: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 (organic demand — high spend, low discount reliance): Arizona, Kansas, Alaska, Tennessee, Virginia.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Deprioritize discount spend in (heaviest discount reliance relative to spend): Indiana, Oregon, Wisconsin, Iowa, South Carolina.</w:t>
      </w:r>
    </w:p>
    <w:p>
      <w:pPr>
        <w:spacing w:after="120"/>
      </w:pPr>
      <w:r>
        <w:t xml:space="preserve">Recommendation: shift a portion of promo/discount budget currently spent broadly across all states toward organic-demand-focused marketing (content, brand, referral) in the top 5 states, where customers already spend well without needing a discount to convert.</w:t>
      </w:r>
    </w:p>
    <w:p>
      <w:pPr>
        <w:spacing w:after="200"/>
      </w:pPr>
    </w:p>
    <w:p>
      <w:r>
        <w:rPr>
          <w:i/>
          <w:iCs/>
          <w:color w:val="777777"/>
          <w:sz w:val="18"/>
          <w:szCs w:val="18"/>
        </w:rPr>
        <w:t xml:space="preserve">Prepared as part of the Customer Value &amp; Loyalty analysis — see accompanying Executive Summary and Power BI dashboard for supporting detail.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2026-08-16T07:38:37.395Z</dcterms:created>
  <dcterms:modified xsi:type="dcterms:W3CDTF">2026-08-16T07:38:37.409Z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