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Corporate Remote Work &amp; High-Risk Travel Security Policy</w:t>
      </w:r>
    </w:p>
    <w:p>
      <w:r>
        <w:t>Document Code: SEC-2026-v4 | Effective Date: January 1, 2026 | Classification: Strictly Confidential</w:t>
      </w:r>
    </w:p>
    <w:p>
      <w:r>
        <w:rPr>
          <w:b/>
        </w:rPr>
        <w:t>1. High-Risk International Travel Procedures</w:t>
        <w:br/>
      </w:r>
      <w:r>
        <w:t>All enterprise employees and contracted personnel scheduled to travel to designated Category A or Category B international jurisdictions must submit and register their complete itinerary at least seven business days in advance with the Global Security Office (GSO). Failure to register prior to departure will result in automatic temporary revocation of corporate credentials.</w:t>
      </w:r>
    </w:p>
    <w:p>
      <w:r>
        <w:rPr>
          <w:b/>
        </w:rPr>
        <w:t>2. Mandatory Hardware &amp; Traveler Burner Laptops</w:t>
        <w:br/>
      </w:r>
      <w:r>
        <w:t>For all travel to Category A countries, company-issued traveler burner laptops are strictly mandatory. Standard corporate production laptops and personal computing devices are expressly prohibited from crossing international borders into Category A zones. Personal smartphones may not connect to corporate VPNs, email gateways, or cloud repositories while located in foreign transit.</w:t>
      </w:r>
    </w:p>
    <w:p>
      <w:r>
        <w:rPr>
          <w:b/>
        </w:rPr>
        <w:t>3. Multi-Factor Authentication &amp; Network Protocol</w:t>
        <w:br/>
      </w:r>
      <w:r>
        <w:t>SMS-based one-time passwords (OTP) are strictly banned for authentication while abroad due to SS7 cellular intercept vulnerabilities. All employees must utilize FIDO2 hardware security keys (e.g. YubiKey 5 Series). Corporate VPN tunnels with split-tunneling disabled must remain continuously active whenever an authorized device is powered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