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Climate Dynamics and Environmental Impact Assessment</w:t>
      </w:r>
    </w:p>
    <w:p>
      <w:r>
        <w:t>Climate change refers to long-term shifts in temperatures and weather patterns across the Earth's biosphere. While natural processes such as variations in the solar cycle influence the climate, human industrial activities have been the undisputed primary driver of global warming since the mid-19th century.</w:t>
      </w:r>
    </w:p>
    <w:p>
      <w:pPr>
        <w:pStyle w:val="Heading2"/>
      </w:pPr>
      <w:r>
        <w:t>Primary Drivers of Global Warming</w:t>
      </w:r>
    </w:p>
    <w:p>
      <w:r>
        <w:t>The combustion of fossil fuels—coal, oil, and gas—releases billions of metric tons of carbon dioxide and nitrous oxide into the atmosphere. These heat-trapping greenhouse gases blanket the Earth, preventing thermal radiation from escaping into space and elevating average global temperatures.</w:t>
      </w:r>
    </w:p>
    <w:p>
      <w:pPr>
        <w:pStyle w:val="Heading2"/>
      </w:pPr>
      <w:r>
        <w:t>Ecosystem and Biosphere Consequences</w:t>
      </w:r>
    </w:p>
    <w:p>
      <w:r>
        <w:t>Consequences of rapid climate change include intensifying droughts, water scarcity, catastrophic wildfires, rising global sea levels from melting polar ice sheets, catastrophic flooding, and the loss of biodiversity across marine coral reefs and terrestrial habitats.</w:t>
      </w:r>
    </w:p>
    <w:p>
      <w:pPr>
        <w:pStyle w:val="Heading2"/>
      </w:pPr>
      <w:r>
        <w:t>Mitigation and Renewable Transition</w:t>
      </w:r>
    </w:p>
    <w:p>
      <w:r>
        <w:t>Transitioning from fossil fuels to clean renewable energy sources such as utility-scale solar photovoltaics, wind turbines, geothermal energy, and green hydrogen represents the cornerstone of international decarbonization commitments under the Paris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