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4748B"/>
          <w:spacing w:val="200"/>
          <w:sz w:val="24"/>
          <w:szCs w:val="24"/>
        </w:rPr>
        <w:t xml:space="preserve">Chapter 1</w:t>
      </w:r>
    </w:p>
    <w:p>
      <w:pPr>
        <w:pStyle w:val="Heading1"/>
        <w:pBdr>
          <w:bottom w:val="single" w:color="534AB7" w:sz="8" w:space="4"/>
        </w:pBdr>
        <w:spacing w:after="240" w:before="480"/>
      </w:pPr>
      <w:r>
        <w:rPr>
          <w:rFonts w:ascii="Arial" w:cs="Arial" w:eastAsia="Arial" w:hAnsi="Arial"/>
          <w:b/>
          <w:bCs/>
          <w:color w:val="0F2027"/>
          <w:sz w:val="36"/>
          <w:szCs w:val="36"/>
        </w:rPr>
        <w:t xml:space="preserve">Introduction</w:t>
      </w:r>
    </w:p>
    <w:p>
      <w:pPr>
        <w:spacing w:after="160" w:before="0"/>
        <w:jc w:val="both"/>
      </w:pPr>
      <w:r>
        <w:rPr>
          <w:rFonts w:ascii="Arial" w:cs="Arial" w:eastAsia="Arial" w:hAnsi="Arial"/>
          <w:color w:val="1E293B"/>
          <w:sz w:val="22"/>
          <w:szCs w:val="22"/>
        </w:rPr>
        <w:t xml:space="preserve">This chapter establishes the motivation, context, and framing for the proposed research. It presents the scale of India's agricultural advisory deficit, examines the current state of AI-driven agricultural systems, identifies why those systems remain insufficient, and articulates the research questions that drive this thesis. Supporting statistics, comparative figures, and structured tables are provided throughout to ground each claim in evidence.</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1.1  Background and Context</w:t>
      </w:r>
    </w:p>
    <w:p>
      <w:pPr>
        <w:spacing w:after="160" w:before="0"/>
        <w:jc w:val="both"/>
      </w:pPr>
      <w:r>
        <w:rPr>
          <w:rFonts w:ascii="Arial" w:cs="Arial" w:eastAsia="Arial" w:hAnsi="Arial"/>
          <w:color w:val="1E293B"/>
          <w:sz w:val="22"/>
          <w:szCs w:val="22"/>
        </w:rPr>
        <w:t xml:space="preserve">Agriculture is the structural backbone of the Indian economy. It contributes approximately </w:t>
      </w:r>
      <w:r>
        <w:rPr>
          <w:rFonts w:ascii="Arial" w:cs="Arial" w:eastAsia="Arial" w:hAnsi="Arial"/>
          <w:b/>
          <w:bCs/>
          <w:color w:val="1E293B"/>
          <w:sz w:val="22"/>
          <w:szCs w:val="22"/>
        </w:rPr>
        <w:t xml:space="preserve">17–18% of GDP</w:t>
      </w:r>
      <w:r>
        <w:rPr>
          <w:rFonts w:ascii="Arial" w:cs="Arial" w:eastAsia="Arial" w:hAnsi="Arial"/>
          <w:color w:val="1E293B"/>
          <w:sz w:val="22"/>
          <w:szCs w:val="22"/>
        </w:rPr>
        <w:t xml:space="preserve">, employs </w:t>
      </w:r>
      <w:r>
        <w:rPr>
          <w:rFonts w:ascii="Arial" w:cs="Arial" w:eastAsia="Arial" w:hAnsi="Arial"/>
          <w:b/>
          <w:bCs/>
          <w:color w:val="1E293B"/>
          <w:sz w:val="22"/>
          <w:szCs w:val="22"/>
        </w:rPr>
        <w:t xml:space="preserve">42.3% of the total workforce</w:t>
      </w:r>
      <w:r>
        <w:rPr>
          <w:rFonts w:ascii="Arial" w:cs="Arial" w:eastAsia="Arial" w:hAnsi="Arial"/>
          <w:color w:val="1E293B"/>
          <w:sz w:val="22"/>
          <w:szCs w:val="22"/>
        </w:rPr>
        <w:t xml:space="preserve">, and directly supports the livelihoods of over </w:t>
      </w:r>
      <w:r>
        <w:rPr>
          <w:rFonts w:ascii="Arial" w:cs="Arial" w:eastAsia="Arial" w:hAnsi="Arial"/>
          <w:b/>
          <w:bCs/>
          <w:color w:val="1E293B"/>
          <w:sz w:val="22"/>
          <w:szCs w:val="22"/>
        </w:rPr>
        <w:t xml:space="preserve">600 million people</w:t>
      </w:r>
      <w:r>
        <w:rPr>
          <w:rFonts w:ascii="Arial" w:cs="Arial" w:eastAsia="Arial" w:hAnsi="Arial"/>
          <w:color w:val="1E293B"/>
          <w:sz w:val="22"/>
          <w:szCs w:val="22"/>
        </w:rPr>
        <w:t xml:space="preserve"> across 146 million farm households (Agricultural Census, 2021; Ministry of Agriculture, 2024). Despite this scale, Indian agriculture continues to operate under a profound and well-documented advisory deficit — a gap between the technical knowledge needed to make optimal decisions and the access farmers have to that knowledge.</w:t>
      </w:r>
    </w:p>
    <w:p>
      <w:pPr>
        <w:spacing w:after="160" w:before="0"/>
        <w:jc w:val="both"/>
      </w:pPr>
      <w:r>
        <w:rPr>
          <w:rFonts w:ascii="Arial" w:cs="Arial" w:eastAsia="Arial" w:hAnsi="Arial"/>
          <w:color w:val="1E293B"/>
          <w:sz w:val="22"/>
          <w:szCs w:val="22"/>
        </w:rPr>
        <w:t xml:space="preserve">The magnitude of this gap is quantified starkly in the extension worker ratio. National data from ICAR (2023) places India's agricultural extension worker to farmer ratio at </w:t>
      </w:r>
      <w:r>
        <w:rPr>
          <w:rFonts w:ascii="Arial" w:cs="Arial" w:eastAsia="Arial" w:hAnsi="Arial"/>
          <w:b/>
          <w:bCs/>
          <w:color w:val="1E293B"/>
          <w:sz w:val="22"/>
          <w:szCs w:val="22"/>
        </w:rPr>
        <w:t xml:space="preserve">1 : 1,000+</w:t>
      </w:r>
      <w:r>
        <w:rPr>
          <w:rFonts w:ascii="Arial" w:cs="Arial" w:eastAsia="Arial" w:hAnsi="Arial"/>
          <w:color w:val="1E293B"/>
          <w:sz w:val="22"/>
          <w:szCs w:val="22"/>
        </w:rPr>
        <w:t xml:space="preserve"> — far below the FAO-recommended benchmark of 1 : 400. In densely farmed states such as Uttar Pradesh, Bihar, and Madhya Pradesh, this ratio deteriorates to </w:t>
      </w:r>
      <w:r>
        <w:rPr>
          <w:rFonts w:ascii="Arial" w:cs="Arial" w:eastAsia="Arial" w:hAnsi="Arial"/>
          <w:b/>
          <w:bCs/>
          <w:color w:val="1E293B"/>
          <w:sz w:val="22"/>
          <w:szCs w:val="22"/>
        </w:rPr>
        <w:t xml:space="preserve">1 : 2,000</w:t>
      </w:r>
      <w:r>
        <w:rPr>
          <w:rFonts w:ascii="Arial" w:cs="Arial" w:eastAsia="Arial" w:hAnsi="Arial"/>
          <w:color w:val="1E293B"/>
          <w:sz w:val="22"/>
          <w:szCs w:val="22"/>
        </w:rPr>
        <w:t xml:space="preserve"> or worse. The practical consequence is that the majority of India's smallholder farm households make critical decisions — about disease treatment, fertiliser application, crop selection, irrigation scheduling, and market timing — </w:t>
      </w:r>
      <w:r>
        <w:rPr>
          <w:rFonts w:ascii="Arial" w:cs="Arial" w:eastAsia="Arial" w:hAnsi="Arial"/>
          <w:b/>
          <w:bCs/>
          <w:color w:val="1E293B"/>
          <w:sz w:val="22"/>
          <w:szCs w:val="22"/>
        </w:rPr>
        <w:t xml:space="preserve">without any professional guidance.</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EEEDFE" w:val="clear"/>
            <w:tcMar>
              <w:top w:type="dxa" w:w="160"/>
              <w:left w:type="dxa" w:w="160"/>
              <w:bottom w:type="dxa" w:w="160"/>
              <w:right w:type="dxa" w:w="160"/>
            </w:tcMar>
          </w:tcPr>
          <w:p>
            <w:pPr>
              <w:spacing w:after="40" w:before="0"/>
              <w:jc w:val="center"/>
            </w:pPr>
            <w:r>
              <w:rPr>
                <w:rFonts w:ascii="Arial" w:cs="Arial" w:eastAsia="Arial" w:hAnsi="Arial"/>
                <w:b/>
                <w:bCs/>
                <w:color w:val="534AB7"/>
                <w:sz w:val="48"/>
                <w:szCs w:val="48"/>
              </w:rPr>
              <w:t xml:space="preserve">146M+</w:t>
            </w:r>
          </w:p>
          <w:p>
            <w:pPr>
              <w:jc w:val="center"/>
            </w:pPr>
            <w:r>
              <w:rPr>
                <w:rFonts w:ascii="Arial" w:cs="Arial" w:eastAsia="Arial" w:hAnsi="Arial"/>
                <w:color w:val="534AB7"/>
                <w:sz w:val="18"/>
                <w:szCs w:val="18"/>
              </w:rPr>
              <w:t xml:space="preserve">Smallholder farm households in India (Census 2021)</w:t>
            </w:r>
          </w:p>
        </w:tc>
        <w:tc>
          <w:tcPr>
            <w:tcW w:type="dxa" w:w="2340"/>
            <w:tcBorders>
              <w:top w:val="single" w:color="CBD5E1" w:sz="1"/>
              <w:left w:val="single" w:color="CBD5E1" w:sz="1"/>
              <w:bottom w:val="single" w:color="CBD5E1" w:sz="1"/>
              <w:right w:val="single" w:color="CBD5E1" w:sz="1"/>
            </w:tcBorders>
            <w:shd w:fill="FAECE7" w:val="clear"/>
            <w:tcMar>
              <w:top w:type="dxa" w:w="160"/>
              <w:left w:type="dxa" w:w="160"/>
              <w:bottom w:type="dxa" w:w="160"/>
              <w:right w:type="dxa" w:w="160"/>
            </w:tcMar>
          </w:tcPr>
          <w:p>
            <w:pPr>
              <w:spacing w:after="40" w:before="0"/>
              <w:jc w:val="center"/>
            </w:pPr>
            <w:r>
              <w:rPr>
                <w:rFonts w:ascii="Arial" w:cs="Arial" w:eastAsia="Arial" w:hAnsi="Arial"/>
                <w:b/>
                <w:bCs/>
                <w:color w:val="993C1D"/>
                <w:sz w:val="48"/>
                <w:szCs w:val="48"/>
              </w:rPr>
              <w:t xml:space="preserve">1 : 1000+</w:t>
            </w:r>
          </w:p>
          <w:p>
            <w:pPr>
              <w:jc w:val="center"/>
            </w:pPr>
            <w:r>
              <w:rPr>
                <w:rFonts w:ascii="Arial" w:cs="Arial" w:eastAsia="Arial" w:hAnsi="Arial"/>
                <w:color w:val="993C1D"/>
                <w:sz w:val="18"/>
                <w:szCs w:val="18"/>
              </w:rPr>
              <w:t xml:space="preserve">Extension worker to farmer ratio — far below FAO 1:400 norm</w:t>
            </w:r>
          </w:p>
        </w:tc>
        <w:tc>
          <w:tcPr>
            <w:tcW w:type="dxa" w:w="2340"/>
            <w:tcBorders>
              <w:top w:val="single" w:color="CBD5E1" w:sz="1"/>
              <w:left w:val="single" w:color="CBD5E1" w:sz="1"/>
              <w:bottom w:val="single" w:color="CBD5E1" w:sz="1"/>
              <w:right w:val="single" w:color="CBD5E1" w:sz="1"/>
            </w:tcBorders>
            <w:shd w:fill="E1F5EE" w:val="clear"/>
            <w:tcMar>
              <w:top w:type="dxa" w:w="160"/>
              <w:left w:type="dxa" w:w="160"/>
              <w:bottom w:type="dxa" w:w="160"/>
              <w:right w:type="dxa" w:w="160"/>
            </w:tcMar>
          </w:tcPr>
          <w:p>
            <w:pPr>
              <w:spacing w:after="40" w:before="0"/>
              <w:jc w:val="center"/>
            </w:pPr>
            <w:r>
              <w:rPr>
                <w:rFonts w:ascii="Arial" w:cs="Arial" w:eastAsia="Arial" w:hAnsi="Arial"/>
                <w:b/>
                <w:bCs/>
                <w:color w:val="0F6E56"/>
                <w:sz w:val="48"/>
                <w:szCs w:val="48"/>
              </w:rPr>
              <w:t xml:space="preserve">₹1.5L cr</w:t>
            </w:r>
          </w:p>
          <w:p>
            <w:pPr>
              <w:jc w:val="center"/>
            </w:pPr>
            <w:r>
              <w:rPr>
                <w:rFonts w:ascii="Arial" w:cs="Arial" w:eastAsia="Arial" w:hAnsi="Arial"/>
                <w:color w:val="0F6E56"/>
                <w:sz w:val="18"/>
                <w:szCs w:val="18"/>
              </w:rPr>
              <w:t xml:space="preserve">Estimated annual crop loss from disease &amp; poor advisory</w:t>
            </w:r>
          </w:p>
        </w:tc>
        <w:tc>
          <w:tcPr>
            <w:tcW w:type="dxa" w:w="2340"/>
            <w:tcBorders>
              <w:top w:val="single" w:color="CBD5E1" w:sz="1"/>
              <w:left w:val="single" w:color="CBD5E1" w:sz="1"/>
              <w:bottom w:val="single" w:color="CBD5E1" w:sz="1"/>
              <w:right w:val="single" w:color="CBD5E1" w:sz="1"/>
            </w:tcBorders>
            <w:shd w:fill="FAEEDA" w:val="clear"/>
            <w:tcMar>
              <w:top w:type="dxa" w:w="160"/>
              <w:left w:type="dxa" w:w="160"/>
              <w:bottom w:type="dxa" w:w="160"/>
              <w:right w:type="dxa" w:w="160"/>
            </w:tcMar>
          </w:tcPr>
          <w:p>
            <w:pPr>
              <w:spacing w:after="40" w:before="0"/>
              <w:jc w:val="center"/>
            </w:pPr>
            <w:r>
              <w:rPr>
                <w:rFonts w:ascii="Arial" w:cs="Arial" w:eastAsia="Arial" w:hAnsi="Arial"/>
                <w:b/>
                <w:bCs/>
                <w:color w:val="854F0B"/>
                <w:sz w:val="48"/>
                <w:szCs w:val="48"/>
              </w:rPr>
              <w:t xml:space="preserve">&lt;30%</w:t>
            </w:r>
          </w:p>
          <w:p>
            <w:pPr>
              <w:jc w:val="center"/>
            </w:pPr>
            <w:r>
              <w:rPr>
                <w:rFonts w:ascii="Arial" w:cs="Arial" w:eastAsia="Arial" w:hAnsi="Arial"/>
                <w:color w:val="854F0B"/>
                <w:sz w:val="18"/>
                <w:szCs w:val="18"/>
              </w:rPr>
              <w:t xml:space="preserve">Farmers with access to any form of professional agronomist advice</w:t>
            </w:r>
          </w:p>
        </w:tc>
      </w:tr>
    </w:tbl>
    <w:p>
      <w:pPr>
        <w:spacing w:after="200" w:before="60"/>
        <w:jc w:val="center"/>
      </w:pPr>
      <w:r>
        <w:rPr>
          <w:rFonts w:ascii="Arial" w:cs="Arial" w:eastAsia="Arial" w:hAnsi="Arial"/>
          <w:color w:val="64748B"/>
          <w:sz w:val="18"/>
          <w:szCs w:val="18"/>
        </w:rPr>
        <w:t xml:space="preserve">Figure 1.1: Key statistics quantifying India's agricultural advisory deficit. Sources: Agricultural Census 2021; ICAR 2023; NABARD 2023; ASSOCHAM 2023.</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The economic cost of this advisory gap is not abstract. Four distinct, quantified channels of loss have been identified across the literature and government reports:</w:t>
      </w:r>
    </w:p>
    <w:p>
      <w:pPr>
        <w:pStyle w:val="ListParagraph"/>
        <w:numPr>
          <w:ilvl w:val="0"/>
          <w:numId w:val="2"/>
        </w:numPr>
        <w:spacing w:after="80" w:before="0"/>
      </w:pPr>
      <w:r>
        <w:rPr>
          <w:rFonts w:ascii="Arial" w:cs="Arial" w:eastAsia="Arial" w:hAnsi="Arial"/>
          <w:color w:val="1E293B"/>
          <w:sz w:val="22"/>
          <w:szCs w:val="22"/>
        </w:rPr>
      </w:r>
    </w:p>
    <w:p>
      <w:pPr>
        <w:pStyle w:val="ListParagraph"/>
        <w:numPr>
          <w:ilvl w:val="0"/>
          <w:numId w:val="2"/>
        </w:numPr>
        <w:spacing w:after="100" w:before="0"/>
      </w:pPr>
      <w:r>
        <w:rPr>
          <w:rFonts w:ascii="Arial" w:cs="Arial" w:eastAsia="Arial" w:hAnsi="Arial"/>
          <w:b/>
          <w:bCs/>
          <w:color w:val="1E293B"/>
          <w:sz w:val="22"/>
          <w:szCs w:val="22"/>
        </w:rPr>
        <w:t xml:space="preserve">Crop disease and pest damage (26–30% yield loss): </w:t>
      </w:r>
      <w:r>
        <w:rPr>
          <w:rFonts w:ascii="Arial" w:cs="Arial" w:eastAsia="Arial" w:hAnsi="Arial"/>
          <w:color w:val="1E293B"/>
          <w:sz w:val="22"/>
          <w:szCs w:val="22"/>
        </w:rPr>
        <w:t xml:space="preserve">Farmers identify disease symptoms visually, typically 10–14 days after the optimal treatment window. Misdiagnosis — treating fungal blight as bacterial — leads to wrong pesticide, wasted money, and crop failure. Only 12% of farmers have used any digital disease tool (NABARD, 2022).</w:t>
      </w:r>
    </w:p>
    <w:p>
      <w:pPr>
        <w:pStyle w:val="ListParagraph"/>
        <w:numPr>
          <w:ilvl w:val="0"/>
          <w:numId w:val="2"/>
        </w:numPr>
        <w:spacing w:after="100" w:before="0"/>
      </w:pPr>
      <w:r>
        <w:rPr>
          <w:rFonts w:ascii="Arial" w:cs="Arial" w:eastAsia="Arial" w:hAnsi="Arial"/>
          <w:b/>
          <w:bCs/>
          <w:color w:val="1E293B"/>
          <w:sz w:val="22"/>
          <w:szCs w:val="22"/>
        </w:rPr>
        <w:t xml:space="preserve">Soil nutrient deficiency (20–30% yield loss): </w:t>
      </w:r>
      <w:r>
        <w:rPr>
          <w:rFonts w:ascii="Arial" w:cs="Arial" w:eastAsia="Arial" w:hAnsi="Arial"/>
          <w:color w:val="1E293B"/>
          <w:sz w:val="22"/>
          <w:szCs w:val="22"/>
        </w:rPr>
        <w:t xml:space="preserve">Nitrogen, zinc, and boron imbalances silently reduce potential yield by 20–30% annually (NABARD, 2023). The Soil Health Card scheme has issued 230+ million cards, but only 14.6% of recipients acted on the recommendations — because no system translates NPK numbers into a fertiliser schedule in their language (Ministry of Agriculture, 2023).</w:t>
      </w:r>
    </w:p>
    <w:p>
      <w:pPr>
        <w:pStyle w:val="ListParagraph"/>
        <w:numPr>
          <w:ilvl w:val="0"/>
          <w:numId w:val="2"/>
        </w:numPr>
        <w:spacing w:after="100" w:before="0"/>
      </w:pPr>
      <w:r>
        <w:rPr>
          <w:rFonts w:ascii="Arial" w:cs="Arial" w:eastAsia="Arial" w:hAnsi="Arial"/>
          <w:b/>
          <w:bCs/>
          <w:color w:val="1E293B"/>
          <w:sz w:val="22"/>
          <w:szCs w:val="22"/>
        </w:rPr>
        <w:t xml:space="preserve">Market price asymmetry (30–40% below-optimal revenue): </w:t>
      </w:r>
      <w:r>
        <w:rPr>
          <w:rFonts w:ascii="Arial" w:cs="Arial" w:eastAsia="Arial" w:hAnsi="Arial"/>
          <w:color w:val="1E293B"/>
          <w:sz w:val="22"/>
          <w:szCs w:val="22"/>
        </w:rPr>
        <w:t xml:space="preserve">Farmers sell an estimated 30–40% below the price achievable with real-time mandi data and price forecasting (eNAM Annual Report, 2023). Only 22 million of 146 million farm households use eNAM or any digital market platform. The rest sell at distress timing without any price intelligence.</w:t>
      </w:r>
    </w:p>
    <w:p>
      <w:pPr>
        <w:pStyle w:val="ListParagraph"/>
        <w:numPr>
          <w:ilvl w:val="0"/>
          <w:numId w:val="2"/>
        </w:numPr>
        <w:spacing w:after="100" w:before="0"/>
      </w:pPr>
      <w:r>
        <w:rPr>
          <w:rFonts w:ascii="Arial" w:cs="Arial" w:eastAsia="Arial" w:hAnsi="Arial"/>
          <w:b/>
          <w:bCs/>
          <w:color w:val="1E293B"/>
          <w:sz w:val="22"/>
          <w:szCs w:val="22"/>
        </w:rPr>
        <w:t xml:space="preserve">Suboptimal crop selection: </w:t>
      </w:r>
      <w:r>
        <w:rPr>
          <w:rFonts w:ascii="Arial" w:cs="Arial" w:eastAsia="Arial" w:hAnsi="Arial"/>
          <w:color w:val="1E293B"/>
          <w:sz w:val="22"/>
          <w:szCs w:val="22"/>
        </w:rPr>
        <w:t xml:space="preserve">Without soil-matched, climate-matched, and historically yield-validated crop recommendations, many farmers plant suboptimal varieties for their conditions. District-level crop diversification data shows that over 60% of smallholders in any given district cultivate fewer than three crop types — a risk concentration driven partly by lack of recommendation access.</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Together these four channels account for the estimated </w:t>
      </w:r>
      <w:r>
        <w:rPr>
          <w:rFonts w:ascii="Arial" w:cs="Arial" w:eastAsia="Arial" w:hAnsi="Arial"/>
          <w:b/>
          <w:bCs/>
          <w:color w:val="1E293B"/>
          <w:sz w:val="22"/>
          <w:szCs w:val="22"/>
        </w:rPr>
        <w:t xml:space="preserve">₹1.5 lakh crore in annual agricultural losses</w:t>
      </w:r>
      <w:r>
        <w:rPr>
          <w:rFonts w:ascii="Arial" w:cs="Arial" w:eastAsia="Arial" w:hAnsi="Arial"/>
          <w:color w:val="1E293B"/>
          <w:sz w:val="22"/>
          <w:szCs w:val="22"/>
        </w:rPr>
        <w:t xml:space="preserve"> cited by ASSOCHAM (2023) and corroborated by ICAR internal estimates. This figure represents both an economic tragedy and a clear research opportunity — one that advances in AI are now technically positioned to address.</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1.2  The AI Opportunity — Why the Time Is Now</w:t>
      </w:r>
    </w:p>
    <w:p>
      <w:pPr>
        <w:spacing w:after="160" w:before="0"/>
        <w:jc w:val="both"/>
      </w:pPr>
      <w:r>
        <w:rPr>
          <w:rFonts w:ascii="Arial" w:cs="Arial" w:eastAsia="Arial" w:hAnsi="Arial"/>
          <w:color w:val="1E293B"/>
          <w:sz w:val="22"/>
          <w:szCs w:val="22"/>
        </w:rPr>
        <w:t xml:space="preserve">The convergence of several distinct AI technology maturations in 2023–2025 makes the construction of a comprehensive agricultural advisory system both necessary and — for the first time — feasible. Each technology listed below has crossed a threshold of practical utility within the last two years.</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1.1: Technology readiness assessment — components of the proposed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Technology</w:t>
            </w:r>
          </w:p>
        </w:tc>
        <w:tc>
          <w:tcPr>
            <w:tcW w:type="dxa" w:w="23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Current capability</w:t>
            </w:r>
          </w:p>
        </w:tc>
        <w:tc>
          <w:tcPr>
            <w:tcW w:type="dxa" w:w="23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Agricultural relevance</w:t>
            </w:r>
          </w:p>
        </w:tc>
        <w:tc>
          <w:tcPr>
            <w:tcW w:type="dxa" w:w="234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Evidence</w:t>
            </w:r>
          </w:p>
        </w:tc>
      </w:tr>
      <w:tr>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GPT-4o / Gemini 1.5 Pro</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Strong domain reasoning · multi-turn dialogue · tool use</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Orchestrator backbone · advisory response generation</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OpenAI (2024); Google (2024)</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ViT-L/16 + LoRA fine-tuning</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&gt;90% accuracy on disease datasets · 99% parameter reduction</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Disease diagnostic agent with minimal GPU cost</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AgriM-LLM (2026); LLMI-CDP (2025)</w:t>
            </w:r>
          </w:p>
        </w:tc>
      </w:tr>
      <w:tr>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Whisper large-v3 (Indic)</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WER 16.2% for Hindi agricultural speech</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End-to-end voice advisory in local language</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Indic ASR Benchmark (2025)</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Bhashini API</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ASR + TTS for 10+ Indic languages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Voice input and spoken response for farmers</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MeitY / Bhashini (2024)</w:t>
            </w:r>
          </w:p>
        </w:tc>
      </w:tr>
      <w:tr>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Hybrid RAG + Qdrant</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Faithfulness &gt;0.88 in domain Q&amp;A</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Hallucination-resistant agronomic knowledge</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RAGAS eval (2024)</w:t>
            </w:r>
          </w:p>
        </w:tc>
      </w:tr>
      <w:tr>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LangGraph multi-agent</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Stateful parallel agent orchestration</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Specialist model routing per query type</w:t>
            </w:r>
          </w:p>
        </w:tc>
        <w:tc>
          <w:tcPr>
            <w:tcW w:type="dxa" w:w="234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LangChain (2024)</w:t>
            </w:r>
          </w:p>
        </w:tc>
      </w:tr>
      <w:tr>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React PWA + WebSocket</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Offline cache · &lt;4s streaming latency</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Low-connectivity web access for farmers</w:t>
            </w:r>
          </w:p>
        </w:tc>
        <w:tc>
          <w:tcPr>
            <w:tcW w:type="dxa" w:w="234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Workbox / FastAPI (2024)</w:t>
            </w:r>
          </w:p>
        </w:tc>
      </w:tr>
    </w:tbl>
    <w:p>
      <w:pPr>
        <w:spacing w:after="200" w:before="60"/>
        <w:jc w:val="center"/>
      </w:pPr>
      <w:r>
        <w:rPr>
          <w:rFonts w:ascii="Arial" w:cs="Arial" w:eastAsia="Arial" w:hAnsi="Arial"/>
          <w:color w:val="64748B"/>
          <w:sz w:val="18"/>
          <w:szCs w:val="18"/>
        </w:rPr>
        <w:t xml:space="preserve">Table 1.1: Assessment of component technology readiness. Each component has crossed the threshold of practical deployment utility in 2023–2025.</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Critically, no prior work has assembled these components into a unified, deployment-ready system. The proposed research addresses this specific integration gap, not individual component research — the novelty lies in the </w:t>
      </w:r>
      <w:r>
        <w:rPr>
          <w:rFonts w:ascii="Arial" w:cs="Arial" w:eastAsia="Arial" w:hAnsi="Arial"/>
          <w:b/>
          <w:bCs/>
          <w:color w:val="1E293B"/>
          <w:sz w:val="22"/>
          <w:szCs w:val="22"/>
        </w:rPr>
        <w:t xml:space="preserve">architecture, fusion, and deployment</w:t>
      </w:r>
      <w:r>
        <w:rPr>
          <w:rFonts w:ascii="Arial" w:cs="Arial" w:eastAsia="Arial" w:hAnsi="Arial"/>
          <w:color w:val="1E293B"/>
          <w:sz w:val="22"/>
          <w:szCs w:val="22"/>
        </w:rPr>
        <w:t xml:space="preserve"> rather than any single model advance.</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1.3  Current State of Agricultural AI Systems</w:t>
      </w:r>
    </w:p>
    <w:p>
      <w:pPr>
        <w:spacing w:after="160" w:before="0"/>
        <w:jc w:val="both"/>
      </w:pPr>
      <w:r>
        <w:rPr>
          <w:rFonts w:ascii="Arial" w:cs="Arial" w:eastAsia="Arial" w:hAnsi="Arial"/>
          <w:color w:val="1E293B"/>
          <w:sz w:val="22"/>
          <w:szCs w:val="22"/>
        </w:rPr>
        <w:t xml:space="preserve">A wave of agricultural AI systems has emerged in 2023–2025. While each advances one dimension of the problem, </w:t>
      </w:r>
      <w:r>
        <w:rPr>
          <w:rFonts w:ascii="Arial" w:cs="Arial" w:eastAsia="Arial" w:hAnsi="Arial"/>
          <w:b/>
          <w:bCs/>
          <w:color w:val="1E293B"/>
          <w:sz w:val="22"/>
          <w:szCs w:val="22"/>
        </w:rPr>
        <w:t xml:space="preserve">none provides a complete solution</w:t>
      </w:r>
      <w:r>
        <w:rPr>
          <w:rFonts w:ascii="Arial" w:cs="Arial" w:eastAsia="Arial" w:hAnsi="Arial"/>
          <w:color w:val="1E293B"/>
          <w:sz w:val="22"/>
          <w:szCs w:val="22"/>
        </w:rPr>
        <w:t xml:space="preserve"> for the Indian smallholder farmer. The following analysis examines the six most architecturally relevant systems and documents their specific limitations.</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90"/>
        <w:gridCol w:w="4670"/>
      </w:tblGrid>
      <w:tr>
        <w:tc>
          <w:tcPr>
            <w:tcW w:type="dxa" w:w="4690"/>
            <w:tcBorders>
              <w:top w:val="single" w:color="CBD5E1" w:sz="1"/>
              <w:left w:val="single" w:color="CBD5E1" w:sz="1"/>
              <w:bottom w:val="single" w:color="CBD5E1" w:sz="1"/>
              <w:right w:val="single" w:color="CBD5E1" w:sz="1"/>
            </w:tcBorders>
            <w:shd w:fill="EEEDFE" w:val="clear"/>
            <w:tcMar>
              <w:top w:type="dxa" w:w="160"/>
              <w:left w:type="dxa" w:w="180"/>
              <w:bottom w:type="dxa" w:w="160"/>
              <w:right w:type="dxa" w:w="180"/>
            </w:tcMar>
          </w:tcPr>
          <w:p>
            <w:pPr>
              <w:spacing w:after="80" w:before="0"/>
            </w:pPr>
            <w:r>
              <w:rPr>
                <w:rFonts w:ascii="Arial" w:cs="Arial" w:eastAsia="Arial" w:hAnsi="Arial"/>
                <w:b/>
                <w:bCs/>
                <w:color w:val="534AB7"/>
                <w:sz w:val="20"/>
                <w:szCs w:val="20"/>
              </w:rPr>
              <w:t xml:space="preserve">What exists</w:t>
            </w:r>
          </w:p>
          <w:p>
            <w:pPr>
              <w:spacing w:after="60" w:before="0"/>
            </w:pPr>
            <w:r>
              <w:rPr>
                <w:rFonts w:ascii="Arial" w:cs="Arial" w:eastAsia="Arial" w:hAnsi="Arial"/>
                <w:b/>
                <w:bCs/>
                <w:color w:val="534AB7"/>
                <w:sz w:val="22"/>
                <w:szCs w:val="22"/>
              </w:rPr>
              <w:t xml:space="preserve">→  </w:t>
            </w:r>
            <w:r>
              <w:rPr>
                <w:rFonts w:ascii="Arial" w:cs="Arial" w:eastAsia="Arial" w:hAnsi="Arial"/>
                <w:color w:val="1E293B"/>
                <w:sz w:val="22"/>
                <w:szCs w:val="22"/>
              </w:rPr>
              <w:t xml:space="preserve">Farmer.Chat: 565k users, WhatsApp chatbot, multi-country</w:t>
            </w:r>
          </w:p>
          <w:p>
            <w:pPr>
              <w:spacing w:after="60" w:before="0"/>
            </w:pPr>
            <w:r>
              <w:rPr>
                <w:rFonts w:ascii="Arial" w:cs="Arial" w:eastAsia="Arial" w:hAnsi="Arial"/>
                <w:b/>
                <w:bCs/>
                <w:color w:val="534AB7"/>
                <w:sz w:val="22"/>
                <w:szCs w:val="22"/>
              </w:rPr>
              <w:t xml:space="preserve">→  </w:t>
            </w:r>
            <w:r>
              <w:rPr>
                <w:rFonts w:ascii="Arial" w:cs="Arial" w:eastAsia="Arial" w:hAnsi="Arial"/>
                <w:color w:val="1E293B"/>
                <w:sz w:val="22"/>
                <w:szCs w:val="22"/>
              </w:rPr>
              <w:t xml:space="preserve">AgriDoctor: Intent router + specialist disease agents (IEEE 2025)</w:t>
            </w:r>
          </w:p>
          <w:p>
            <w:pPr>
              <w:spacing w:after="60" w:before="0"/>
            </w:pPr>
            <w:r>
              <w:rPr>
                <w:rFonts w:ascii="Arial" w:cs="Arial" w:eastAsia="Arial" w:hAnsi="Arial"/>
                <w:b/>
                <w:bCs/>
                <w:color w:val="534AB7"/>
                <w:sz w:val="22"/>
                <w:szCs w:val="22"/>
              </w:rPr>
              <w:t xml:space="preserve">→  </w:t>
            </w:r>
            <w:r>
              <w:rPr>
                <w:rFonts w:ascii="Arial" w:cs="Arial" w:eastAsia="Arial" w:hAnsi="Arial"/>
                <w:color w:val="1E293B"/>
                <w:sz w:val="22"/>
                <w:szCs w:val="22"/>
              </w:rPr>
              <w:t xml:space="preserve">AgriGPT: Tri-RAG + 342k-pair specialised dataset (arXiv 2025)</w:t>
            </w:r>
          </w:p>
          <w:p>
            <w:pPr>
              <w:spacing w:after="60" w:before="0"/>
            </w:pPr>
            <w:r>
              <w:rPr>
                <w:rFonts w:ascii="Arial" w:cs="Arial" w:eastAsia="Arial" w:hAnsi="Arial"/>
                <w:b/>
                <w:bCs/>
                <w:color w:val="534AB7"/>
                <w:sz w:val="22"/>
                <w:szCs w:val="22"/>
              </w:rPr>
              <w:t xml:space="preserve">→  </w:t>
            </w:r>
            <w:r>
              <w:rPr>
                <w:rFonts w:ascii="Arial" w:cs="Arial" w:eastAsia="Arial" w:hAnsi="Arial"/>
                <w:color w:val="1E293B"/>
                <w:sz w:val="22"/>
                <w:szCs w:val="22"/>
              </w:rPr>
              <w:t xml:space="preserve">AgriM-LLM: Best-in-class vision encoder for disease (2026)</w:t>
            </w:r>
          </w:p>
          <w:p>
            <w:pPr>
              <w:spacing w:after="60" w:before="0"/>
            </w:pPr>
            <w:r>
              <w:rPr>
                <w:rFonts w:ascii="Arial" w:cs="Arial" w:eastAsia="Arial" w:hAnsi="Arial"/>
                <w:b/>
                <w:bCs/>
                <w:color w:val="534AB7"/>
                <w:sz w:val="22"/>
                <w:szCs w:val="22"/>
              </w:rPr>
              <w:t xml:space="preserve">→  </w:t>
            </w:r>
            <w:r>
              <w:rPr>
                <w:rFonts w:ascii="Arial" w:cs="Arial" w:eastAsia="Arial" w:hAnsi="Arial"/>
                <w:color w:val="1E293B"/>
                <w:sz w:val="22"/>
                <w:szCs w:val="22"/>
              </w:rPr>
              <w:t xml:space="preserve">AgroAskAI: Multi-agent climate advisory (arXiv 2024)</w:t>
            </w:r>
          </w:p>
          <w:p>
            <w:pPr>
              <w:spacing w:after="60" w:before="0"/>
            </w:pPr>
            <w:r>
              <w:rPr>
                <w:rFonts w:ascii="Arial" w:cs="Arial" w:eastAsia="Arial" w:hAnsi="Arial"/>
                <w:b/>
                <w:bCs/>
                <w:color w:val="534AB7"/>
                <w:sz w:val="22"/>
                <w:szCs w:val="22"/>
              </w:rPr>
              <w:t xml:space="preserve">→  </w:t>
            </w:r>
            <w:r>
              <w:rPr>
                <w:rFonts w:ascii="Arial" w:cs="Arial" w:eastAsia="Arial" w:hAnsi="Arial"/>
                <w:color w:val="1E293B"/>
                <w:sz w:val="22"/>
                <w:szCs w:val="22"/>
              </w:rPr>
              <w:t xml:space="preserve">MDPI Agentic: 4 agents + real IoT sensors (2026)</w:t>
            </w:r>
          </w:p>
        </w:tc>
        <w:tc>
          <w:tcPr>
            <w:tcW w:type="dxa" w:w="4670"/>
            <w:tcBorders>
              <w:top w:val="single" w:color="CBD5E1" w:sz="1"/>
              <w:left w:val="single" w:color="CBD5E1" w:sz="1"/>
              <w:bottom w:val="single" w:color="CBD5E1" w:sz="1"/>
              <w:right w:val="single" w:color="CBD5E1" w:sz="1"/>
            </w:tcBorders>
            <w:shd w:fill="FAECE7" w:val="clear"/>
            <w:tcMar>
              <w:top w:type="dxa" w:w="160"/>
              <w:left w:type="dxa" w:w="180"/>
              <w:bottom w:type="dxa" w:w="160"/>
              <w:right w:type="dxa" w:w="180"/>
            </w:tcMar>
          </w:tcPr>
          <w:p>
            <w:pPr>
              <w:spacing w:after="80" w:before="0"/>
            </w:pPr>
            <w:r>
              <w:rPr>
                <w:rFonts w:ascii="Arial" w:cs="Arial" w:eastAsia="Arial" w:hAnsi="Arial"/>
                <w:b/>
                <w:bCs/>
                <w:color w:val="993C1D"/>
                <w:sz w:val="20"/>
                <w:szCs w:val="20"/>
              </w:rPr>
              <w:t xml:space="preserve">What is missing in every system</w:t>
            </w:r>
          </w:p>
          <w:p>
            <w:pPr>
              <w:spacing w:after="60" w:before="0"/>
            </w:pPr>
            <w:r>
              <w:rPr>
                <w:rFonts w:ascii="Arial" w:cs="Arial" w:eastAsia="Arial" w:hAnsi="Arial"/>
                <w:b/>
                <w:bCs/>
                <w:color w:val="993C1D"/>
                <w:sz w:val="22"/>
                <w:szCs w:val="22"/>
              </w:rPr>
              <w:t xml:space="preserve">→  </w:t>
            </w:r>
            <w:r>
              <w:rPr>
                <w:rFonts w:ascii="Arial" w:cs="Arial" w:eastAsia="Arial" w:hAnsi="Arial"/>
                <w:color w:val="1E293B"/>
                <w:sz w:val="22"/>
                <w:szCs w:val="22"/>
              </w:rPr>
              <w:t xml:space="preserve">No system unifies all 5 advisory domains in one session</w:t>
            </w:r>
          </w:p>
          <w:p>
            <w:pPr>
              <w:spacing w:after="60" w:before="0"/>
            </w:pPr>
            <w:r>
              <w:rPr>
                <w:rFonts w:ascii="Arial" w:cs="Arial" w:eastAsia="Arial" w:hAnsi="Arial"/>
                <w:b/>
                <w:bCs/>
                <w:color w:val="993C1D"/>
                <w:sz w:val="22"/>
                <w:szCs w:val="22"/>
              </w:rPr>
              <w:t xml:space="preserve">→  </w:t>
            </w:r>
            <w:r>
              <w:rPr>
                <w:rFonts w:ascii="Arial" w:cs="Arial" w:eastAsia="Arial" w:hAnsi="Arial"/>
                <w:color w:val="1E293B"/>
                <w:sz w:val="22"/>
                <w:szCs w:val="22"/>
              </w:rPr>
              <w:t xml:space="preserve">No system fuses leaf image + soil sensor for nutrition</w:t>
            </w:r>
          </w:p>
          <w:p>
            <w:pPr>
              <w:spacing w:after="60" w:before="0"/>
            </w:pPr>
            <w:r>
              <w:rPr>
                <w:rFonts w:ascii="Arial" w:cs="Arial" w:eastAsia="Arial" w:hAnsi="Arial"/>
                <w:b/>
                <w:bCs/>
                <w:color w:val="993C1D"/>
                <w:sz w:val="22"/>
                <w:szCs w:val="22"/>
              </w:rPr>
              <w:t xml:space="preserve">→  </w:t>
            </w:r>
            <w:r>
              <w:rPr>
                <w:rFonts w:ascii="Arial" w:cs="Arial" w:eastAsia="Arial" w:hAnsi="Arial"/>
                <w:color w:val="1E293B"/>
                <w:sz w:val="22"/>
                <w:szCs w:val="22"/>
              </w:rPr>
              <w:t xml:space="preserve">No system renders XAI to farmer in the advisory UI</w:t>
            </w:r>
          </w:p>
          <w:p>
            <w:pPr>
              <w:spacing w:after="60" w:before="0"/>
            </w:pPr>
            <w:r>
              <w:rPr>
                <w:rFonts w:ascii="Arial" w:cs="Arial" w:eastAsia="Arial" w:hAnsi="Arial"/>
                <w:b/>
                <w:bCs/>
                <w:color w:val="993C1D"/>
                <w:sz w:val="22"/>
                <w:szCs w:val="22"/>
              </w:rPr>
              <w:t xml:space="preserve">→  </w:t>
            </w:r>
            <w:r>
              <w:rPr>
                <w:rFonts w:ascii="Arial" w:cs="Arial" w:eastAsia="Arial" w:hAnsi="Arial"/>
                <w:color w:val="1E293B"/>
                <w:sz w:val="22"/>
                <w:szCs w:val="22"/>
              </w:rPr>
              <w:t xml:space="preserve">No system connects Indic ASR to RAG advisory + TTS</w:t>
            </w:r>
          </w:p>
          <w:p>
            <w:pPr>
              <w:spacing w:after="60" w:before="0"/>
            </w:pPr>
            <w:r>
              <w:rPr>
                <w:rFonts w:ascii="Arial" w:cs="Arial" w:eastAsia="Arial" w:hAnsi="Arial"/>
                <w:b/>
                <w:bCs/>
                <w:color w:val="993C1D"/>
                <w:sz w:val="22"/>
                <w:szCs w:val="22"/>
              </w:rPr>
              <w:t xml:space="preserve">→  </w:t>
            </w:r>
            <w:r>
              <w:rPr>
                <w:rFonts w:ascii="Arial" w:cs="Arial" w:eastAsia="Arial" w:hAnsi="Arial"/>
                <w:color w:val="1E293B"/>
                <w:sz w:val="22"/>
                <w:szCs w:val="22"/>
              </w:rPr>
              <w:t xml:space="preserve">No system co-delivers market price with agronomic advice</w:t>
            </w:r>
          </w:p>
          <w:p>
            <w:pPr>
              <w:spacing w:after="60" w:before="0"/>
            </w:pPr>
            <w:r>
              <w:rPr>
                <w:rFonts w:ascii="Arial" w:cs="Arial" w:eastAsia="Arial" w:hAnsi="Arial"/>
                <w:b/>
                <w:bCs/>
                <w:color w:val="993C1D"/>
                <w:sz w:val="22"/>
                <w:szCs w:val="22"/>
              </w:rPr>
              <w:t xml:space="preserve">→  </w:t>
            </w:r>
            <w:r>
              <w:rPr>
                <w:rFonts w:ascii="Arial" w:cs="Arial" w:eastAsia="Arial" w:hAnsi="Arial"/>
                <w:color w:val="1E293B"/>
                <w:sz w:val="22"/>
                <w:szCs w:val="22"/>
              </w:rPr>
              <w:t xml:space="preserve">No system covers 50+ crops with Indian multilingual voice</w:t>
            </w:r>
          </w:p>
        </w:tc>
      </w:tr>
    </w:tbl>
    <w:p>
      <w:pPr>
        <w:spacing w:after="200" w:before="60"/>
        <w:jc w:val="center"/>
      </w:pPr>
      <w:r>
        <w:rPr>
          <w:rFonts w:ascii="Arial" w:cs="Arial" w:eastAsia="Arial" w:hAnsi="Arial"/>
          <w:color w:val="64748B"/>
          <w:sz w:val="18"/>
          <w:szCs w:val="18"/>
        </w:rPr>
        <w:t xml:space="preserve">Figure 1.2: What exists vs what is missing — the motivation for the proposed research.</w:t>
      </w:r>
    </w:p>
    <w:p>
      <w:pPr>
        <w:spacing w:after="80" w:before="0"/>
      </w:pPr>
      <w:r>
        <w:rPr>
          <w:rFonts w:ascii="Arial" w:cs="Arial" w:eastAsia="Arial" w:hAnsi="Arial"/>
          <w:color w:val="1E293B"/>
          <w:sz w:val="22"/>
          <w:szCs w:val="22"/>
        </w:rPr>
        <w:t xml:space="preserve"/>
      </w:r>
    </w:p>
    <w:p>
      <w:pPr>
        <w:spacing w:after="80" w:before="0"/>
        <w:jc w:val="center"/>
      </w:pPr>
      <w:r>
        <w:rPr>
          <w:rFonts w:ascii="Arial" w:cs="Arial" w:eastAsia="Arial" w:hAnsi="Arial"/>
          <w:b/>
          <w:bCs/>
          <w:color w:val="0F2027"/>
          <w:sz w:val="22"/>
          <w:szCs w:val="22"/>
        </w:rPr>
        <w:t xml:space="preserve">Table 1.2: Comparative capability matrix — state-of-the-art agricultural AI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20"/>
        <w:gridCol w:w="1080"/>
        <w:gridCol w:w="1080"/>
        <w:gridCol w:w="1080"/>
        <w:gridCol w:w="1080"/>
        <w:gridCol w:w="1080"/>
        <w:gridCol w:w="1080"/>
        <w:gridCol w:w="1080"/>
      </w:tblGrid>
      <w:tr>
        <w:trPr>
          <w:tblHeader/>
        </w:trPr>
        <w:tc>
          <w:tcPr>
            <w:tcW w:type="dxa" w:w="156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System</w:t>
            </w:r>
          </w:p>
        </w:tc>
        <w:tc>
          <w:tcPr>
            <w:tcW w:type="dxa" w:w="72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Venue</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Multi-agent</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Vision disease</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Sensor fusion</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XAI to farmer</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Voice/Indic</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Market price</w:t>
            </w:r>
          </w:p>
        </w:tc>
        <w:tc>
          <w:tcPr>
            <w:tcW w:type="dxa" w:w="1080"/>
            <w:tcBorders>
              <w:top w:val="single" w:color="CBD5E1" w:sz="1"/>
              <w:left w:val="single" w:color="CBD5E1" w:sz="1"/>
              <w:bottom w:val="single" w:color="CBD5E1" w:sz="1"/>
              <w:right w:val="single" w:color="CBD5E1" w:sz="1"/>
            </w:tcBorders>
            <w:shd w:fill="0F202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Deployed</w:t>
            </w:r>
          </w:p>
        </w:tc>
      </w:tr>
      <w:tr>
        <w:tc>
          <w:tcPr>
            <w:tcW w:type="dxa" w:w="15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Farmer.Chat</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ACM
2024</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Part.</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r>
      <w:tr>
        <w:tc>
          <w:tcPr>
            <w:tcW w:type="dxa" w:w="15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AgriDoctor</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IEEE
2025</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r>
      <w:tr>
        <w:tc>
          <w:tcPr>
            <w:tcW w:type="dxa" w:w="15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AgriGPT</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arXiv
2025</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r>
      <w:tr>
        <w:tc>
          <w:tcPr>
            <w:tcW w:type="dxa" w:w="15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AgriM-LLM</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Pre.
2026</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r>
      <w:tr>
        <w:tc>
          <w:tcPr>
            <w:tcW w:type="dxa" w:w="15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AgroAskAI</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arXiv
2024</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Part.</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r>
      <w:tr>
        <w:tc>
          <w:tcPr>
            <w:tcW w:type="dxa" w:w="156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bCs/>
                <w:color w:val="0F2027"/>
                <w:sz w:val="19"/>
                <w:szCs w:val="19"/>
              </w:rPr>
              <w:t xml:space="preserve">MDPI Agentic</w:t>
            </w:r>
          </w:p>
        </w:tc>
        <w:tc>
          <w:tcPr>
            <w:tcW w:type="dxa" w:w="7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center"/>
            </w:pPr>
            <w:r>
              <w:rPr>
                <w:rFonts w:ascii="Arial" w:cs="Arial" w:eastAsia="Arial" w:hAnsi="Arial"/>
                <w:b w:val="false"/>
                <w:bCs w:val="false"/>
                <w:color w:val="64748B"/>
                <w:sz w:val="19"/>
                <w:szCs w:val="19"/>
              </w:rPr>
              <w:t xml:space="preserve">MDPI
2026</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center"/>
            </w:pPr>
            <w:r>
              <w:rPr>
                <w:rFonts w:ascii="Arial" w:cs="Arial" w:eastAsia="Arial" w:hAnsi="Arial"/>
                <w:b/>
                <w:bCs/>
                <w:color w:val="854F0B"/>
                <w:sz w:val="17"/>
                <w:szCs w:val="17"/>
              </w:rPr>
              <w:t xml:space="preserve">✓ Part.</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c>
          <w:tcPr>
            <w:tcW w:type="dxa" w:w="1080"/>
            <w:tcBorders>
              <w:top w:val="single" w:color="CBD5E1" w:sz="1"/>
              <w:left w:val="single" w:color="CBD5E1" w:sz="1"/>
              <w:bottom w:val="single" w:color="CBD5E1" w:sz="1"/>
              <w:right w:val="single" w:color="CBD5E1" w:sz="1"/>
            </w:tcBorders>
            <w:shd w:fill="FAECE7" w:val="clear"/>
            <w:tcMar>
              <w:top w:type="dxa" w:w="100"/>
              <w:left w:type="dxa" w:w="150"/>
              <w:bottom w:type="dxa" w:w="100"/>
              <w:right w:type="dxa" w:w="150"/>
            </w:tcMar>
          </w:tcPr>
          <w:p>
            <w:pPr>
              <w:jc w:val="center"/>
            </w:pPr>
            <w:r>
              <w:rPr>
                <w:rFonts w:ascii="Arial" w:cs="Arial" w:eastAsia="Arial" w:hAnsi="Arial"/>
                <w:b/>
                <w:bCs/>
                <w:color w:val="993C1D"/>
                <w:sz w:val="17"/>
                <w:szCs w:val="17"/>
              </w:rPr>
              <w:t xml:space="preserve">✗ No</w:t>
            </w:r>
          </w:p>
        </w:tc>
      </w:tr>
      <w:tr>
        <w:tc>
          <w:tcPr>
            <w:tcW w:type="dxa" w:w="156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left"/>
            </w:pPr>
            <w:r>
              <w:rPr>
                <w:rFonts w:ascii="Arial" w:cs="Arial" w:eastAsia="Arial" w:hAnsi="Arial"/>
                <w:b/>
                <w:bCs/>
                <w:color w:val="FFFFFF"/>
                <w:sz w:val="19"/>
                <w:szCs w:val="19"/>
              </w:rPr>
              <w:t xml:space="preserve">Proposed System</w:t>
            </w:r>
          </w:p>
        </w:tc>
        <w:tc>
          <w:tcPr>
            <w:tcW w:type="dxa" w:w="72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val="false"/>
                <w:bCs w:val="false"/>
                <w:color w:val="534AB7"/>
                <w:sz w:val="19"/>
                <w:szCs w:val="19"/>
              </w:rPr>
              <w:t xml:space="preserve">Thesis
2025</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c>
          <w:tcPr>
            <w:tcW w:type="dxa" w:w="1080"/>
            <w:tcBorders>
              <w:top w:val="single" w:color="CBD5E1" w:sz="1"/>
              <w:left w:val="single" w:color="CBD5E1" w:sz="1"/>
              <w:bottom w:val="single" w:color="CBD5E1" w:sz="1"/>
              <w:right w:val="single" w:color="CBD5E1" w:sz="1"/>
            </w:tcBorders>
            <w:shd w:fill="EAF3DE" w:val="clear"/>
            <w:tcMar>
              <w:top w:type="dxa" w:w="100"/>
              <w:left w:type="dxa" w:w="150"/>
              <w:bottom w:type="dxa" w:w="100"/>
              <w:right w:type="dxa" w:w="150"/>
            </w:tcMar>
          </w:tcPr>
          <w:p>
            <w:pPr>
              <w:jc w:val="center"/>
            </w:pPr>
            <w:r>
              <w:rPr>
                <w:rFonts w:ascii="Arial" w:cs="Arial" w:eastAsia="Arial" w:hAnsi="Arial"/>
                <w:b/>
                <w:bCs/>
                <w:color w:val="3B6D11"/>
                <w:sz w:val="17"/>
                <w:szCs w:val="17"/>
              </w:rPr>
              <w:t xml:space="preserve">✓ Yes</w:t>
            </w:r>
          </w:p>
        </w:tc>
      </w:tr>
    </w:tbl>
    <w:p>
      <w:pPr>
        <w:spacing w:after="200" w:before="60"/>
        <w:jc w:val="center"/>
      </w:pPr>
      <w:r>
        <w:rPr>
          <w:rFonts w:ascii="Arial" w:cs="Arial" w:eastAsia="Arial" w:hAnsi="Arial"/>
          <w:color w:val="64748B"/>
          <w:sz w:val="18"/>
          <w:szCs w:val="18"/>
        </w:rPr>
        <w:t xml:space="preserve">Table 1.2: Capability comparison across state-of-the-art agricultural AI systems. Green = capability present; Red = capability absent; Amber = partial. The proposed system is the only one completing all columns.</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Table 1.2 reveals that every prior system has at least four capability gaps. More importantly, </w:t>
      </w:r>
      <w:r>
        <w:rPr>
          <w:rFonts w:ascii="Arial" w:cs="Arial" w:eastAsia="Arial" w:hAnsi="Arial"/>
          <w:b/>
          <w:bCs/>
          <w:color w:val="1E293B"/>
          <w:sz w:val="22"/>
          <w:szCs w:val="22"/>
        </w:rPr>
        <w:t xml:space="preserve">no single gap is trivial — each represents a structural exclusion</w:t>
      </w:r>
      <w:r>
        <w:rPr>
          <w:rFonts w:ascii="Arial" w:cs="Arial" w:eastAsia="Arial" w:hAnsi="Arial"/>
          <w:color w:val="1E293B"/>
          <w:sz w:val="22"/>
          <w:szCs w:val="22"/>
        </w:rPr>
        <w:t xml:space="preserve"> of a class of farmers: those who communicate by voice, those who grow crops beyond the supported domain, those who cannot interpret AI output without explanation, and those for whom agronomic advice without market context is incomplete.</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1.4  Problem Statement</w:t>
      </w:r>
    </w:p>
    <w:p>
      <w:pPr>
        <w:spacing w:after="160" w:before="0"/>
        <w:jc w:val="both"/>
      </w:pPr>
      <w:r>
        <w:rPr>
          <w:rFonts w:ascii="Arial" w:cs="Arial" w:eastAsia="Arial" w:hAnsi="Arial"/>
          <w:color w:val="1E293B"/>
          <w:sz w:val="22"/>
          <w:szCs w:val="22"/>
        </w:rPr>
        <w:t xml:space="preserve">The formal problem addressed by this research can be stated as follows:</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534AB7" w:sz="16"/>
              <w:bottom w:val="single" w:color="CBD5E1" w:sz="1"/>
              <w:right w:val="single" w:color="CBD5E1" w:sz="1"/>
            </w:tcBorders>
            <w:shd w:fill="EEEDFE" w:val="clear"/>
            <w:tcMar>
              <w:top w:type="dxa" w:w="180"/>
              <w:left w:type="dxa" w:w="240"/>
              <w:bottom w:type="dxa" w:w="180"/>
              <w:right w:type="dxa" w:w="240"/>
            </w:tcMar>
          </w:tcPr>
          <w:p>
            <w:pPr>
              <w:spacing w:after="80" w:before="0"/>
            </w:pPr>
            <w:r>
              <w:rPr>
                <w:rFonts w:ascii="Arial" w:cs="Arial" w:eastAsia="Arial" w:hAnsi="Arial"/>
                <w:b/>
                <w:bCs/>
                <w:color w:val="534AB7"/>
                <w:sz w:val="20"/>
                <w:szCs w:val="20"/>
              </w:rPr>
              <w:t xml:space="preserve">Problem Statement</w:t>
            </w:r>
          </w:p>
          <w:p>
            <w:pPr>
              <w:spacing w:after="0" w:before="0"/>
              <w:jc w:val="both"/>
            </w:pPr>
            <w:r>
              <w:rPr>
                <w:rFonts w:ascii="Arial" w:cs="Arial" w:eastAsia="Arial" w:hAnsi="Arial"/>
                <w:color w:val="1E293B"/>
                <w:sz w:val="22"/>
                <w:szCs w:val="22"/>
              </w:rPr>
              <w:t xml:space="preserve">Current agricultural AI systems are fundamentally fragmented and individually insufficient. </w:t>
            </w:r>
            <w:r>
              <w:rPr>
                <w:rFonts w:ascii="Arial" w:cs="Arial" w:eastAsia="Arial" w:hAnsi="Arial"/>
                <w:b/>
                <w:bCs/>
                <w:color w:val="1E293B"/>
                <w:sz w:val="22"/>
                <w:szCs w:val="22"/>
              </w:rPr>
              <w:t xml:space="preserve">Farmer.Chat</w:t>
            </w:r>
            <w:r>
              <w:rPr>
                <w:rFonts w:ascii="Arial" w:cs="Arial" w:eastAsia="Arial" w:hAnsi="Arial"/>
                <w:color w:val="1E293B"/>
                <w:sz w:val="22"/>
                <w:szCs w:val="22"/>
              </w:rPr>
              <w:t xml:space="preserve"> (ACM, 2024) achieves conversational scale but lacks image-grounded disease diagnosis, soil sensor integration, and explainability. </w:t>
            </w:r>
            <w:r>
              <w:rPr>
                <w:rFonts w:ascii="Arial" w:cs="Arial" w:eastAsia="Arial" w:hAnsi="Arial"/>
                <w:b/>
                <w:bCs/>
                <w:color w:val="1E293B"/>
                <w:sz w:val="22"/>
                <w:szCs w:val="22"/>
              </w:rPr>
              <w:t xml:space="preserve">AgriDoctor</w:t>
            </w:r>
            <w:r>
              <w:rPr>
                <w:rFonts w:ascii="Arial" w:cs="Arial" w:eastAsia="Arial" w:hAnsi="Arial"/>
                <w:color w:val="1E293B"/>
                <w:sz w:val="22"/>
                <w:szCs w:val="22"/>
              </w:rPr>
              <w:t xml:space="preserve"> (IEEE, 2025) introduces intent-routing multi-agent architecture but is confined to disease and pest identification only. </w:t>
            </w:r>
            <w:r>
              <w:rPr>
                <w:rFonts w:ascii="Arial" w:cs="Arial" w:eastAsia="Arial" w:hAnsi="Arial"/>
                <w:b/>
                <w:bCs/>
                <w:color w:val="1E293B"/>
                <w:sz w:val="22"/>
                <w:szCs w:val="22"/>
              </w:rPr>
              <w:t xml:space="preserve">AgriGPT</w:t>
            </w:r>
            <w:r>
              <w:rPr>
                <w:rFonts w:ascii="Arial" w:cs="Arial" w:eastAsia="Arial" w:hAnsi="Arial"/>
                <w:color w:val="1E293B"/>
                <w:sz w:val="22"/>
                <w:szCs w:val="22"/>
              </w:rPr>
              <w:t xml:space="preserve"> (arXiv, 2025) achieves strong knowledge grounding through Tri-RAG but provides no voice input, visual diagnosis, or farmer-facing explanation. </w:t>
            </w:r>
            <w:r>
              <w:rPr>
                <w:rFonts w:ascii="Arial" w:cs="Arial" w:eastAsia="Arial" w:hAnsi="Arial"/>
                <w:b/>
                <w:bCs/>
                <w:color w:val="1E293B"/>
                <w:sz w:val="22"/>
                <w:szCs w:val="22"/>
              </w:rPr>
              <w:t xml:space="preserve">AgriM-LLM</w:t>
            </w:r>
            <w:r>
              <w:rPr>
                <w:rFonts w:ascii="Arial" w:cs="Arial" w:eastAsia="Arial" w:hAnsi="Arial"/>
                <w:color w:val="1E293B"/>
                <w:sz w:val="22"/>
                <w:szCs w:val="22"/>
              </w:rPr>
              <w:t xml:space="preserve"> (Preprints, 2026) advances vision encoding for disease but operates as a standalone model with no conversational interface or multilingual support. </w:t>
            </w:r>
            <w:r>
              <w:rPr>
                <w:rFonts w:ascii="Arial" w:cs="Arial" w:eastAsia="Arial" w:hAnsi="Arial"/>
                <w:b/>
                <w:bCs/>
                <w:color w:val="1E293B"/>
                <w:sz w:val="22"/>
                <w:szCs w:val="22"/>
              </w:rPr>
              <w:t xml:space="preserve">AgroAskAI</w:t>
            </w:r>
            <w:r>
              <w:rPr>
                <w:rFonts w:ascii="Arial" w:cs="Arial" w:eastAsia="Arial" w:hAnsi="Arial"/>
                <w:color w:val="1E293B"/>
                <w:sz w:val="22"/>
                <w:szCs w:val="22"/>
              </w:rPr>
              <w:t xml:space="preserve"> (arXiv, 2024) demonstrates multi-agent climate advisory with hallucination governance but omits visual diagnosis, soil data, and market intelligence. No existing system simultaneously supports multimodal input across voice, image, text, and soil sensor; routes queries to specialist domain models; grounds responses in verified agronomic knowledge; surfaces explainability in a farmer-accessible form; delivers advisory in Indic languages; or integrates live market price within the same conversational session as agronomic advice — leaving India's 146 million smallholder farmers without a reliable, trustworthy, and accessible AI-driven advisory system.</w:t>
            </w:r>
          </w:p>
        </w:tc>
      </w:tr>
    </w:tbl>
    <w:p>
      <w:pPr>
        <w:spacing w:after="200" w:before="60"/>
        <w:jc w:val="center"/>
      </w:pPr>
      <w:r>
        <w:rPr>
          <w:rFonts w:ascii="Arial" w:cs="Arial" w:eastAsia="Arial" w:hAnsi="Arial"/>
          <w:color w:val="64748B"/>
          <w:sz w:val="18"/>
          <w:szCs w:val="18"/>
        </w:rPr>
        <w:t xml:space="preserve">Figure 1.3: Formal problem statement for this research.</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1.5  Research Questions</w:t>
      </w:r>
    </w:p>
    <w:p>
      <w:pPr>
        <w:spacing w:after="160" w:before="0"/>
        <w:jc w:val="both"/>
      </w:pPr>
      <w:r>
        <w:rPr>
          <w:rFonts w:ascii="Arial" w:cs="Arial" w:eastAsia="Arial" w:hAnsi="Arial"/>
          <w:color w:val="1E293B"/>
          <w:sz w:val="22"/>
          <w:szCs w:val="22"/>
        </w:rPr>
        <w:t xml:space="preserve">The following five research questions are derived directly from the five capability gaps identified in the comparative analysis:</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400"/>
        <w:gridCol w:w="3420"/>
      </w:tblGrid>
      <w:tr>
        <w:trPr>
          <w:tblHeader/>
        </w:trPr>
        <w:tc>
          <w:tcPr>
            <w:tcW w:type="dxa" w:w="5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RQ</w:t>
            </w:r>
          </w:p>
        </w:tc>
        <w:tc>
          <w:tcPr>
            <w:tcW w:type="dxa" w:w="540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Research question</w:t>
            </w:r>
          </w:p>
        </w:tc>
        <w:tc>
          <w:tcPr>
            <w:tcW w:type="dxa" w:w="342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Gap addressed</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RQ1</w:t>
            </w:r>
          </w:p>
        </w:tc>
        <w:tc>
          <w:tcPr>
            <w:tcW w:type="dxa" w:w="5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Can a multi-agent architecture with five specialist domain models outperform a single general-purpose LLM for multi-domain agricultural advisory in terms of accuracy, relevance, and latency?</w:t>
            </w:r>
          </w:p>
        </w:tc>
        <w:tc>
          <w:tcPr>
            <w:tcW w:type="dxa" w:w="34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G1 — No unified advisory session</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RQ2</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Does cross-modal fusion of leaf image features with real-time soil sensor data improve nutrition deficiency diagnosis and fertiliser recommendation accuracy over image-only or sensor-only approaches?</w:t>
            </w:r>
          </w:p>
        </w:tc>
        <w:tc>
          <w:tcPr>
            <w:tcW w:type="dxa" w:w="34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G2 — No sensor-image fusion in dialogue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RQ3</w:t>
            </w:r>
          </w:p>
        </w:tc>
        <w:tc>
          <w:tcPr>
            <w:tcW w:type="dxa" w:w="5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Does rendering Grad-CAM heatmaps and SHAP feature charts to farmers in the advisory response improve trust, acceptance, and correctness verification compared to advice without explanations?</w:t>
            </w:r>
          </w:p>
        </w:tc>
        <w:tc>
          <w:tcPr>
            <w:tcW w:type="dxa" w:w="34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G3 — XAI never shown to farmer</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RQ4</w:t>
            </w:r>
          </w:p>
        </w:tc>
        <w:tc>
          <w:tcPr>
            <w:tcW w:type="dxa" w:w="540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Can an end-to-end Indic voice pipeline — Whisper ASR to RAG advisory to Bhashini TTS — achieve production-grade accuracy (WER &lt;20% Hindi) and sub-4-second latency within a deployed agricultural advisory system?</w:t>
            </w:r>
          </w:p>
        </w:tc>
        <w:tc>
          <w:tcPr>
            <w:tcW w:type="dxa" w:w="34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G4 — No Indic voice-to-advisory pipeline</w:t>
            </w:r>
          </w:p>
        </w:tc>
      </w:tr>
      <w:tr>
        <w:tc>
          <w:tcPr>
            <w:tcW w:type="dxa" w:w="5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RQ5</w:t>
            </w:r>
          </w:p>
        </w:tc>
        <w:tc>
          <w:tcPr>
            <w:tcW w:type="dxa" w:w="540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Does integrating live mandi price forecasting within the same conversational session as agronomic advisory improve the quality and actionability of farmer decisions compared to advisory systems without market integration?</w:t>
            </w:r>
          </w:p>
        </w:tc>
        <w:tc>
          <w:tcPr>
            <w:tcW w:type="dxa" w:w="3420"/>
            <w:tcBorders>
              <w:top w:val="single" w:color="CBD5E1" w:sz="1"/>
              <w:left w:val="single" w:color="CBD5E1" w:sz="1"/>
              <w:bottom w:val="single" w:color="CBD5E1" w:sz="1"/>
              <w:right w:val="single" w:color="CBD5E1" w:sz="1"/>
            </w:tcBorders>
            <w:shd w:fill="FAEEDA" w:val="clear"/>
            <w:tcMar>
              <w:top w:type="dxa" w:w="100"/>
              <w:left w:type="dxa" w:w="150"/>
              <w:bottom w:type="dxa" w:w="100"/>
              <w:right w:type="dxa" w:w="150"/>
            </w:tcMar>
          </w:tcPr>
          <w:p>
            <w:pPr>
              <w:jc w:val="left"/>
            </w:pPr>
            <w:r>
              <w:rPr>
                <w:rFonts w:ascii="Arial" w:cs="Arial" w:eastAsia="Arial" w:hAnsi="Arial"/>
                <w:b w:val="false"/>
                <w:bCs w:val="false"/>
                <w:color w:val="854F0B"/>
                <w:sz w:val="19"/>
                <w:szCs w:val="19"/>
              </w:rPr>
              <w:t xml:space="preserve">G5 — Market never co-delivered with agronomy</w:t>
            </w:r>
          </w:p>
        </w:tc>
      </w:tr>
    </w:tbl>
    <w:p>
      <w:pPr>
        <w:spacing w:after="200" w:before="60"/>
        <w:jc w:val="center"/>
      </w:pPr>
      <w:r>
        <w:rPr>
          <w:rFonts w:ascii="Arial" w:cs="Arial" w:eastAsia="Arial" w:hAnsi="Arial"/>
          <w:color w:val="64748B"/>
          <w:sz w:val="18"/>
          <w:szCs w:val="18"/>
        </w:rPr>
        <w:t xml:space="preserve">Table 1.3: Five research questions derived from the five identified capability gaps.</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1.6  Scope and Delimitations</w:t>
      </w:r>
    </w:p>
    <w:p>
      <w:pPr>
        <w:pStyle w:val="Heading3"/>
        <w:spacing w:after="80" w:before="180"/>
      </w:pPr>
      <w:r>
        <w:rPr>
          <w:rFonts w:ascii="Arial" w:cs="Arial" w:eastAsia="Arial" w:hAnsi="Arial"/>
          <w:b/>
          <w:bCs/>
          <w:color w:val="0F6E56"/>
          <w:sz w:val="22"/>
          <w:szCs w:val="22"/>
        </w:rPr>
        <w:t xml:space="preserve">1.6.1  Scope of the Research</w:t>
      </w:r>
    </w:p>
    <w:p>
      <w:pPr>
        <w:pStyle w:val="ListParagraph"/>
        <w:numPr>
          <w:ilvl w:val="0"/>
          <w:numId w:val="2"/>
        </w:numPr>
        <w:spacing w:after="80" w:before="0"/>
      </w:pPr>
      <w:r>
        <w:rPr>
          <w:rFonts w:ascii="Arial" w:cs="Arial" w:eastAsia="Arial" w:hAnsi="Arial"/>
          <w:b/>
          <w:bCs/>
          <w:color w:val="1E293B"/>
          <w:sz w:val="22"/>
          <w:szCs w:val="22"/>
        </w:rPr>
        <w:t xml:space="preserve">Geographic scope: </w:t>
      </w:r>
      <w:r>
        <w:rPr>
          <w:rFonts w:ascii="Arial" w:cs="Arial" w:eastAsia="Arial" w:hAnsi="Arial"/>
          <w:color w:val="1E293B"/>
          <w:sz w:val="22"/>
          <w:szCs w:val="22"/>
        </w:rPr>
        <w:t xml:space="preserve">India-focused multi-crop advisory covering 22 states and 50+ crop species across Kharif, Rabi, and Zaid seasons</w:t>
      </w:r>
    </w:p>
    <w:p>
      <w:pPr>
        <w:pStyle w:val="ListParagraph"/>
        <w:numPr>
          <w:ilvl w:val="0"/>
          <w:numId w:val="2"/>
        </w:numPr>
        <w:spacing w:after="80" w:before="0"/>
      </w:pPr>
      <w:r>
        <w:rPr>
          <w:rFonts w:ascii="Arial" w:cs="Arial" w:eastAsia="Arial" w:hAnsi="Arial"/>
          <w:b/>
          <w:bCs/>
          <w:color w:val="1E293B"/>
          <w:sz w:val="22"/>
          <w:szCs w:val="22"/>
        </w:rPr>
        <w:t xml:space="preserve">Input modalities: </w:t>
      </w:r>
      <w:r>
        <w:rPr>
          <w:rFonts w:ascii="Arial" w:cs="Arial" w:eastAsia="Arial" w:hAnsi="Arial"/>
          <w:color w:val="1E293B"/>
          <w:sz w:val="22"/>
          <w:szCs w:val="22"/>
        </w:rPr>
        <w:t xml:space="preserve">Text, voice (10 Indic languages), leaf/field images, soil sensor data (NPK, pH, EC, moisture), and live market price feeds</w:t>
      </w:r>
    </w:p>
    <w:p>
      <w:pPr>
        <w:pStyle w:val="ListParagraph"/>
        <w:numPr>
          <w:ilvl w:val="0"/>
          <w:numId w:val="2"/>
        </w:numPr>
        <w:spacing w:after="80" w:before="0"/>
      </w:pPr>
      <w:r>
        <w:rPr>
          <w:rFonts w:ascii="Arial" w:cs="Arial" w:eastAsia="Arial" w:hAnsi="Arial"/>
          <w:b/>
          <w:bCs/>
          <w:color w:val="1E293B"/>
          <w:sz w:val="22"/>
          <w:szCs w:val="22"/>
        </w:rPr>
        <w:t xml:space="preserve">Advisory domains: </w:t>
      </w:r>
      <w:r>
        <w:rPr>
          <w:rFonts w:ascii="Arial" w:cs="Arial" w:eastAsia="Arial" w:hAnsi="Arial"/>
          <w:color w:val="1E293B"/>
          <w:sz w:val="22"/>
          <w:szCs w:val="22"/>
        </w:rPr>
        <w:t xml:space="preserve">Disease diagnosis, nutrition deficiency and fertiliser recommendation, crop selection and sowing calendar, weather and irrigation scheduling, and market price advisory</w:t>
      </w:r>
    </w:p>
    <w:p>
      <w:pPr>
        <w:pStyle w:val="ListParagraph"/>
        <w:numPr>
          <w:ilvl w:val="0"/>
          <w:numId w:val="2"/>
        </w:numPr>
        <w:spacing w:after="80" w:before="0"/>
      </w:pPr>
      <w:r>
        <w:rPr>
          <w:rFonts w:ascii="Arial" w:cs="Arial" w:eastAsia="Arial" w:hAnsi="Arial"/>
          <w:b/>
          <w:bCs/>
          <w:color w:val="1E293B"/>
          <w:sz w:val="22"/>
          <w:szCs w:val="22"/>
        </w:rPr>
        <w:t xml:space="preserve">Deployment platform: </w:t>
      </w:r>
      <w:r>
        <w:rPr>
          <w:rFonts w:ascii="Arial" w:cs="Arial" w:eastAsia="Arial" w:hAnsi="Arial"/>
          <w:color w:val="1E293B"/>
          <w:sz w:val="22"/>
          <w:szCs w:val="22"/>
        </w:rPr>
        <w:t xml:space="preserve">Progressive Web Application (PWA) targeting commodity Android devices on 3G connectivity with &lt;4 second response latency</w:t>
      </w:r>
    </w:p>
    <w:p>
      <w:pPr>
        <w:pStyle w:val="ListParagraph"/>
        <w:numPr>
          <w:ilvl w:val="0"/>
          <w:numId w:val="2"/>
        </w:numPr>
        <w:spacing w:after="80" w:before="0"/>
      </w:pPr>
      <w:r>
        <w:rPr>
          <w:rFonts w:ascii="Arial" w:cs="Arial" w:eastAsia="Arial" w:hAnsi="Arial"/>
          <w:b/>
          <w:bCs/>
          <w:color w:val="1E293B"/>
          <w:sz w:val="22"/>
          <w:szCs w:val="22"/>
        </w:rPr>
        <w:t xml:space="preserve">Knowledge grounding: </w:t>
      </w:r>
      <w:r>
        <w:rPr>
          <w:rFonts w:ascii="Arial" w:cs="Arial" w:eastAsia="Arial" w:hAnsi="Arial"/>
          <w:color w:val="1E293B"/>
          <w:sz w:val="22"/>
          <w:szCs w:val="22"/>
        </w:rPr>
        <w:t xml:space="preserve">ICAR Package of Practices, FAO advisory documents, CGIAR research corpus, Kisan Call Centre transcripts, and Agmarknet market data</w:t>
      </w:r>
    </w:p>
    <w:p>
      <w:pPr>
        <w:spacing w:after="80" w:before="0"/>
      </w:pPr>
      <w:r>
        <w:rPr>
          <w:rFonts w:ascii="Arial" w:cs="Arial" w:eastAsia="Arial" w:hAnsi="Arial"/>
          <w:color w:val="1E293B"/>
          <w:sz w:val="22"/>
          <w:szCs w:val="22"/>
        </w:rPr>
        <w:t xml:space="preserve"/>
      </w:r>
    </w:p>
    <w:p>
      <w:pPr>
        <w:pStyle w:val="Heading3"/>
        <w:spacing w:after="80" w:before="180"/>
      </w:pPr>
      <w:r>
        <w:rPr>
          <w:rFonts w:ascii="Arial" w:cs="Arial" w:eastAsia="Arial" w:hAnsi="Arial"/>
          <w:b/>
          <w:bCs/>
          <w:color w:val="0F6E56"/>
          <w:sz w:val="22"/>
          <w:szCs w:val="22"/>
        </w:rPr>
        <w:t xml:space="preserve">1.6.2  Delimitations</w:t>
      </w:r>
    </w:p>
    <w:p>
      <w:pPr>
        <w:pStyle w:val="ListParagraph"/>
        <w:numPr>
          <w:ilvl w:val="0"/>
          <w:numId w:val="2"/>
        </w:numPr>
        <w:spacing w:after="80" w:before="0"/>
      </w:pPr>
      <w:r>
        <w:rPr>
          <w:rFonts w:ascii="Arial" w:cs="Arial" w:eastAsia="Arial" w:hAnsi="Arial"/>
          <w:color w:val="1E293B"/>
          <w:sz w:val="22"/>
          <w:szCs w:val="22"/>
        </w:rPr>
        <w:t xml:space="preserve">This research does not develop new base models — it fine-tunes and integrates existing SOTA architectures (ViT-L/16, Whisper large-v3, GPT-4o)</w:t>
      </w:r>
    </w:p>
    <w:p>
      <w:pPr>
        <w:pStyle w:val="ListParagraph"/>
        <w:numPr>
          <w:ilvl w:val="0"/>
          <w:numId w:val="2"/>
        </w:numPr>
        <w:spacing w:after="80" w:before="0"/>
      </w:pPr>
      <w:r>
        <w:rPr>
          <w:rFonts w:ascii="Arial" w:cs="Arial" w:eastAsia="Arial" w:hAnsi="Arial"/>
          <w:color w:val="1E293B"/>
          <w:sz w:val="22"/>
          <w:szCs w:val="22"/>
        </w:rPr>
        <w:t xml:space="preserve">IoT sensor hardware design and manufacturing is outside scope — the system assumes sensor data arrives via standard MQTT or REST API</w:t>
      </w:r>
    </w:p>
    <w:p>
      <w:pPr>
        <w:pStyle w:val="ListParagraph"/>
        <w:numPr>
          <w:ilvl w:val="0"/>
          <w:numId w:val="2"/>
        </w:numPr>
        <w:spacing w:after="80" w:before="0"/>
      </w:pPr>
      <w:r>
        <w:rPr>
          <w:rFonts w:ascii="Arial" w:cs="Arial" w:eastAsia="Arial" w:hAnsi="Arial"/>
          <w:color w:val="1E293B"/>
          <w:sz w:val="22"/>
          <w:szCs w:val="22"/>
        </w:rPr>
        <w:t xml:space="preserve">The system covers 50+ crops but does not claim exhaustive coverage of all 250+ crops cultivated in India — priority is given to the 10 highest-acreage crops by state</w:t>
      </w:r>
    </w:p>
    <w:p>
      <w:pPr>
        <w:pStyle w:val="ListParagraph"/>
        <w:numPr>
          <w:ilvl w:val="0"/>
          <w:numId w:val="2"/>
        </w:numPr>
        <w:spacing w:after="80" w:before="0"/>
      </w:pPr>
      <w:r>
        <w:rPr>
          <w:rFonts w:ascii="Arial" w:cs="Arial" w:eastAsia="Arial" w:hAnsi="Arial"/>
          <w:color w:val="1E293B"/>
          <w:sz w:val="22"/>
          <w:szCs w:val="22"/>
        </w:rPr>
        <w:t xml:space="preserve">Market forecasting covers mandi price prediction — commodities futures and derivatives markets are out of scope</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1.7  Significance of the Research</w:t>
      </w:r>
    </w:p>
    <w:p>
      <w:pPr>
        <w:spacing w:after="160" w:before="0"/>
        <w:jc w:val="both"/>
      </w:pPr>
      <w:r>
        <w:rPr>
          <w:rFonts w:ascii="Arial" w:cs="Arial" w:eastAsia="Arial" w:hAnsi="Arial"/>
          <w:color w:val="1E293B"/>
          <w:sz w:val="22"/>
          <w:szCs w:val="22"/>
        </w:rPr>
        <w:t xml:space="preserve">This research is significant along three independent dimensions:</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90"/>
        <w:gridCol w:w="4670"/>
      </w:tblGrid>
      <w:tr>
        <w:tc>
          <w:tcPr>
            <w:tcW w:type="dxa" w:w="4690"/>
            <w:tcBorders>
              <w:top w:val="single" w:color="CBD5E1" w:sz="1"/>
              <w:left w:val="single" w:color="CBD5E1" w:sz="1"/>
              <w:bottom w:val="single" w:color="CBD5E1" w:sz="1"/>
              <w:right w:val="single" w:color="CBD5E1" w:sz="1"/>
            </w:tcBorders>
            <w:shd w:fill="E1F5EE" w:val="clear"/>
            <w:tcMar>
              <w:top w:type="dxa" w:w="160"/>
              <w:left w:type="dxa" w:w="180"/>
              <w:bottom w:type="dxa" w:w="160"/>
              <w:right w:type="dxa" w:w="180"/>
            </w:tcMar>
          </w:tcPr>
          <w:p>
            <w:pPr>
              <w:spacing w:after="80" w:before="0"/>
            </w:pPr>
            <w:r>
              <w:rPr>
                <w:rFonts w:ascii="Arial" w:cs="Arial" w:eastAsia="Arial" w:hAnsi="Arial"/>
                <w:b/>
                <w:bCs/>
                <w:color w:val="0F6E56"/>
                <w:sz w:val="20"/>
                <w:szCs w:val="20"/>
              </w:rPr>
              <w:t xml:space="preserve">Scientific significance</w:t>
            </w:r>
          </w:p>
          <w:p>
            <w:pPr>
              <w:spacing w:after="60" w:before="0"/>
            </w:pPr>
            <w:r>
              <w:rPr>
                <w:rFonts w:ascii="Arial" w:cs="Arial" w:eastAsia="Arial" w:hAnsi="Arial"/>
                <w:b/>
                <w:bCs/>
                <w:color w:val="0F6E56"/>
                <w:sz w:val="22"/>
                <w:szCs w:val="22"/>
              </w:rPr>
              <w:t xml:space="preserve">→  </w:t>
            </w:r>
            <w:r>
              <w:rPr>
                <w:rFonts w:ascii="Arial" w:cs="Arial" w:eastAsia="Arial" w:hAnsi="Arial"/>
                <w:color w:val="1E293B"/>
                <w:sz w:val="22"/>
                <w:szCs w:val="22"/>
              </w:rPr>
              <w:t xml:space="preserve">First multi-agent architecture with five specialist AI domains in one agricultural system</w:t>
            </w:r>
          </w:p>
          <w:p>
            <w:pPr>
              <w:spacing w:after="60" w:before="0"/>
            </w:pPr>
            <w:r>
              <w:rPr>
                <w:rFonts w:ascii="Arial" w:cs="Arial" w:eastAsia="Arial" w:hAnsi="Arial"/>
                <w:b/>
                <w:bCs/>
                <w:color w:val="0F6E56"/>
                <w:sz w:val="22"/>
                <w:szCs w:val="22"/>
              </w:rPr>
              <w:t xml:space="preserve">→  </w:t>
            </w:r>
            <w:r>
              <w:rPr>
                <w:rFonts w:ascii="Arial" w:cs="Arial" w:eastAsia="Arial" w:hAnsi="Arial"/>
                <w:color w:val="1E293B"/>
                <w:sz w:val="22"/>
                <w:szCs w:val="22"/>
              </w:rPr>
              <w:t xml:space="preserve">First cross-modal fusion of leaf image + soil sensor for nutrition advisory in a conversation</w:t>
            </w:r>
          </w:p>
          <w:p>
            <w:pPr>
              <w:spacing w:after="60" w:before="0"/>
            </w:pPr>
            <w:r>
              <w:rPr>
                <w:rFonts w:ascii="Arial" w:cs="Arial" w:eastAsia="Arial" w:hAnsi="Arial"/>
                <w:b/>
                <w:bCs/>
                <w:color w:val="0F6E56"/>
                <w:sz w:val="22"/>
                <w:szCs w:val="22"/>
              </w:rPr>
              <w:t xml:space="preserve">→  </w:t>
            </w:r>
            <w:r>
              <w:rPr>
                <w:rFonts w:ascii="Arial" w:cs="Arial" w:eastAsia="Arial" w:hAnsi="Arial"/>
                <w:color w:val="1E293B"/>
                <w:sz w:val="22"/>
                <w:szCs w:val="22"/>
              </w:rPr>
              <w:t xml:space="preserve">First system rendering Grad-CAM + SHAP as part of a farmer-facing advisory response</w:t>
            </w:r>
          </w:p>
          <w:p>
            <w:pPr>
              <w:spacing w:after="60" w:before="0"/>
            </w:pPr>
            <w:r>
              <w:rPr>
                <w:rFonts w:ascii="Arial" w:cs="Arial" w:eastAsia="Arial" w:hAnsi="Arial"/>
                <w:b/>
                <w:bCs/>
                <w:color w:val="0F6E56"/>
                <w:sz w:val="22"/>
                <w:szCs w:val="22"/>
              </w:rPr>
              <w:t xml:space="preserve">→  </w:t>
            </w:r>
            <w:r>
              <w:rPr>
                <w:rFonts w:ascii="Arial" w:cs="Arial" w:eastAsia="Arial" w:hAnsi="Arial"/>
                <w:color w:val="1E293B"/>
                <w:sz w:val="22"/>
                <w:szCs w:val="22"/>
              </w:rPr>
              <w:t xml:space="preserve">Largest Indian agricultural knowledge corpus for RAG (250k+ ICAR/FAO/CGIAR chunks)</w:t>
            </w:r>
          </w:p>
          <w:p>
            <w:pPr>
              <w:spacing w:after="60" w:before="0"/>
            </w:pPr>
            <w:r>
              <w:rPr>
                <w:rFonts w:ascii="Arial" w:cs="Arial" w:eastAsia="Arial" w:hAnsi="Arial"/>
                <w:b/>
                <w:bCs/>
                <w:color w:val="0F6E56"/>
                <w:sz w:val="22"/>
                <w:szCs w:val="22"/>
              </w:rPr>
              <w:t xml:space="preserve">→  </w:t>
            </w:r>
            <w:r>
              <w:rPr>
                <w:rFonts w:ascii="Arial" w:cs="Arial" w:eastAsia="Arial" w:hAnsi="Arial"/>
                <w:color w:val="1E293B"/>
                <w:sz w:val="22"/>
                <w:szCs w:val="22"/>
              </w:rPr>
              <w:t xml:space="preserve">First end-to-end Indic voice pipeline connected to agronomic RAG advisory</w:t>
            </w:r>
          </w:p>
        </w:tc>
        <w:tc>
          <w:tcPr>
            <w:tcW w:type="dxa" w:w="4670"/>
            <w:tcBorders>
              <w:top w:val="single" w:color="CBD5E1" w:sz="1"/>
              <w:left w:val="single" w:color="CBD5E1" w:sz="1"/>
              <w:bottom w:val="single" w:color="CBD5E1" w:sz="1"/>
              <w:right w:val="single" w:color="CBD5E1" w:sz="1"/>
            </w:tcBorders>
            <w:shd w:fill="EAF3DE" w:val="clear"/>
            <w:tcMar>
              <w:top w:type="dxa" w:w="160"/>
              <w:left w:type="dxa" w:w="180"/>
              <w:bottom w:type="dxa" w:w="160"/>
              <w:right w:type="dxa" w:w="180"/>
            </w:tcMar>
          </w:tcPr>
          <w:p>
            <w:pPr>
              <w:spacing w:after="80" w:before="0"/>
            </w:pPr>
            <w:r>
              <w:rPr>
                <w:rFonts w:ascii="Arial" w:cs="Arial" w:eastAsia="Arial" w:hAnsi="Arial"/>
                <w:b/>
                <w:bCs/>
                <w:color w:val="3B6D11"/>
                <w:sz w:val="20"/>
                <w:szCs w:val="20"/>
              </w:rPr>
              <w:t xml:space="preserve">Societal and economic significance</w:t>
            </w:r>
          </w:p>
          <w:p>
            <w:pPr>
              <w:spacing w:after="60" w:before="0"/>
            </w:pPr>
            <w:r>
              <w:rPr>
                <w:rFonts w:ascii="Arial" w:cs="Arial" w:eastAsia="Arial" w:hAnsi="Arial"/>
                <w:b/>
                <w:bCs/>
                <w:color w:val="3B6D11"/>
                <w:sz w:val="22"/>
                <w:szCs w:val="22"/>
              </w:rPr>
              <w:t xml:space="preserve">→  </w:t>
            </w:r>
            <w:r>
              <w:rPr>
                <w:rFonts w:ascii="Arial" w:cs="Arial" w:eastAsia="Arial" w:hAnsi="Arial"/>
                <w:color w:val="1E293B"/>
                <w:sz w:val="22"/>
                <w:szCs w:val="22"/>
              </w:rPr>
              <w:t xml:space="preserve">Potential to reach 146M farm households with zero-cost, 24/7 expert advisory</w:t>
            </w:r>
          </w:p>
          <w:p>
            <w:pPr>
              <w:spacing w:after="60" w:before="0"/>
            </w:pPr>
            <w:r>
              <w:rPr>
                <w:rFonts w:ascii="Arial" w:cs="Arial" w:eastAsia="Arial" w:hAnsi="Arial"/>
                <w:b/>
                <w:bCs/>
                <w:color w:val="3B6D11"/>
                <w:sz w:val="22"/>
                <w:szCs w:val="22"/>
              </w:rPr>
              <w:t xml:space="preserve">→  </w:t>
            </w:r>
            <w:r>
              <w:rPr>
                <w:rFonts w:ascii="Arial" w:cs="Arial" w:eastAsia="Arial" w:hAnsi="Arial"/>
                <w:color w:val="1E293B"/>
                <w:sz w:val="22"/>
                <w:szCs w:val="22"/>
              </w:rPr>
              <w:t xml:space="preserve">Closes the Soil Health Card action gap — translates data into language-delivered advice</w:t>
            </w:r>
          </w:p>
          <w:p>
            <w:pPr>
              <w:spacing w:after="60" w:before="0"/>
            </w:pPr>
            <w:r>
              <w:rPr>
                <w:rFonts w:ascii="Arial" w:cs="Arial" w:eastAsia="Arial" w:hAnsi="Arial"/>
                <w:b/>
                <w:bCs/>
                <w:color w:val="3B6D11"/>
                <w:sz w:val="22"/>
                <w:szCs w:val="22"/>
              </w:rPr>
              <w:t xml:space="preserve">→  </w:t>
            </w:r>
            <w:r>
              <w:rPr>
                <w:rFonts w:ascii="Arial" w:cs="Arial" w:eastAsia="Arial" w:hAnsi="Arial"/>
                <w:color w:val="1E293B"/>
                <w:sz w:val="22"/>
                <w:szCs w:val="22"/>
              </w:rPr>
              <w:t xml:space="preserve">Market price integration can recover 30–40% of below-optimal revenue for farmers</w:t>
            </w:r>
          </w:p>
          <w:p>
            <w:pPr>
              <w:spacing w:after="60" w:before="0"/>
            </w:pPr>
            <w:r>
              <w:rPr>
                <w:rFonts w:ascii="Arial" w:cs="Arial" w:eastAsia="Arial" w:hAnsi="Arial"/>
                <w:b/>
                <w:bCs/>
                <w:color w:val="3B6D11"/>
                <w:sz w:val="22"/>
                <w:szCs w:val="22"/>
              </w:rPr>
              <w:t xml:space="preserve">→  </w:t>
            </w:r>
            <w:r>
              <w:rPr>
                <w:rFonts w:ascii="Arial" w:cs="Arial" w:eastAsia="Arial" w:hAnsi="Arial"/>
                <w:color w:val="1E293B"/>
                <w:sz w:val="22"/>
                <w:szCs w:val="22"/>
              </w:rPr>
              <w:t xml:space="preserve">Indic voice pipeline removes literacy and connectivity barriers to AI access</w:t>
            </w:r>
          </w:p>
          <w:p>
            <w:pPr>
              <w:spacing w:after="60" w:before="0"/>
            </w:pPr>
            <w:r>
              <w:rPr>
                <w:rFonts w:ascii="Arial" w:cs="Arial" w:eastAsia="Arial" w:hAnsi="Arial"/>
                <w:b/>
                <w:bCs/>
                <w:color w:val="3B6D11"/>
                <w:sz w:val="22"/>
                <w:szCs w:val="22"/>
              </w:rPr>
              <w:t xml:space="preserve">→  </w:t>
            </w:r>
            <w:r>
              <w:rPr>
                <w:rFonts w:ascii="Arial" w:cs="Arial" w:eastAsia="Arial" w:hAnsi="Arial"/>
                <w:color w:val="1E293B"/>
                <w:sz w:val="22"/>
                <w:szCs w:val="22"/>
              </w:rPr>
              <w:t xml:space="preserve">Explainability increases trust and adoption — critical for marginalised user populations</w:t>
            </w:r>
          </w:p>
        </w:tc>
      </w:tr>
    </w:tbl>
    <w:p>
      <w:pPr>
        <w:spacing w:after="200" w:before="60"/>
        <w:jc w:val="center"/>
      </w:pPr>
      <w:r>
        <w:rPr>
          <w:rFonts w:ascii="Arial" w:cs="Arial" w:eastAsia="Arial" w:hAnsi="Arial"/>
          <w:color w:val="64748B"/>
          <w:sz w:val="18"/>
          <w:szCs w:val="18"/>
        </w:rPr>
        <w:t xml:space="preserve">Figure 1.4: Scientific and societal significance of the proposed research.</w:t>
      </w:r>
    </w:p>
    <w:p>
      <w:pPr>
        <w:spacing w:after="80" w:before="0"/>
      </w:pPr>
      <w:r>
        <w:rPr>
          <w:rFonts w:ascii="Arial" w:cs="Arial" w:eastAsia="Arial" w:hAnsi="Arial"/>
          <w:color w:val="1E293B"/>
          <w:sz w:val="22"/>
          <w:szCs w:val="22"/>
        </w:rPr>
        <w:t xml:space="preserve"/>
      </w:r>
    </w:p>
    <w:p>
      <w:pPr>
        <w:spacing w:after="160" w:before="0"/>
        <w:jc w:val="both"/>
      </w:pPr>
      <w:r>
        <w:rPr>
          <w:rFonts w:ascii="Arial" w:cs="Arial" w:eastAsia="Arial" w:hAnsi="Arial"/>
          <w:color w:val="1E293B"/>
          <w:sz w:val="22"/>
          <w:szCs w:val="22"/>
        </w:rPr>
        <w:t xml:space="preserve">From a </w:t>
      </w:r>
      <w:r>
        <w:rPr>
          <w:rFonts w:ascii="Arial" w:cs="Arial" w:eastAsia="Arial" w:hAnsi="Arial"/>
          <w:b/>
          <w:bCs/>
          <w:color w:val="1E293B"/>
          <w:sz w:val="22"/>
          <w:szCs w:val="22"/>
        </w:rPr>
        <w:t xml:space="preserve">policy perspective</w:t>
      </w:r>
      <w:r>
        <w:rPr>
          <w:rFonts w:ascii="Arial" w:cs="Arial" w:eastAsia="Arial" w:hAnsi="Arial"/>
          <w:color w:val="1E293B"/>
          <w:sz w:val="22"/>
          <w:szCs w:val="22"/>
        </w:rPr>
        <w:t xml:space="preserve">, the system directly supports three Government of India flagship initiatives: the Soil Health Card Scheme (DAHD, 2015), the National Agriculture Market (eNAM, 2016), and the Digital Agriculture Mission (MoAFW, 2023). Its grounding in ICAR Package of Practices ensures alignment with the national agricultural extension framework. The Bhashini integration aligns with the MeitY Digital Language Inclusion mandate.</w:t>
      </w:r>
    </w:p>
    <w:p>
      <w:pPr>
        <w:spacing w:after="80" w:before="0"/>
      </w:pPr>
      <w:r>
        <w:rPr>
          <w:rFonts w:ascii="Arial" w:cs="Arial" w:eastAsia="Arial" w:hAnsi="Arial"/>
          <w:color w:val="1E293B"/>
          <w:sz w:val="22"/>
          <w:szCs w:val="22"/>
        </w:rPr>
        <w:t xml:space="preserve"/>
      </w:r>
    </w:p>
    <w:p>
      <w:pPr>
        <w:pStyle w:val="Heading2"/>
        <w:spacing w:after="120" w:before="280"/>
      </w:pPr>
      <w:r>
        <w:rPr>
          <w:rFonts w:ascii="Arial" w:cs="Arial" w:eastAsia="Arial" w:hAnsi="Arial"/>
          <w:b/>
          <w:bCs/>
          <w:color w:val="534AB7"/>
          <w:sz w:val="26"/>
          <w:szCs w:val="26"/>
        </w:rPr>
        <w:t xml:space="preserve">1.8  Organisation of the Thesis</w:t>
      </w:r>
    </w:p>
    <w:p>
      <w:pPr>
        <w:spacing w:after="160" w:before="0"/>
        <w:jc w:val="both"/>
      </w:pPr>
      <w:r>
        <w:rPr>
          <w:rFonts w:ascii="Arial" w:cs="Arial" w:eastAsia="Arial" w:hAnsi="Arial"/>
          <w:color w:val="1E293B"/>
          <w:sz w:val="22"/>
          <w:szCs w:val="22"/>
        </w:rPr>
        <w:t xml:space="preserve">The remainder of this thesis is organised as follows:</w:t>
      </w:r>
    </w:p>
    <w:p>
      <w:pPr>
        <w:spacing w:after="80" w:before="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Chapter</w:t>
            </w:r>
          </w:p>
        </w:tc>
        <w:tc>
          <w:tcPr>
            <w:tcW w:type="dxa" w:w="7920"/>
            <w:tcBorders>
              <w:top w:val="single" w:color="CBD5E1" w:sz="1"/>
              <w:left w:val="single" w:color="CBD5E1" w:sz="1"/>
              <w:bottom w:val="single" w:color="CBD5E1" w:sz="1"/>
              <w:right w:val="single" w:color="CBD5E1" w:sz="1"/>
            </w:tcBorders>
            <w:shd w:fill="534AB7"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Content</w:t>
            </w:r>
          </w:p>
        </w:tc>
      </w:tr>
      <w:tr>
        <w:tc>
          <w:tcPr>
            <w:tcW w:type="dxa" w:w="14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2
Literature Review</w:t>
            </w:r>
          </w:p>
        </w:tc>
        <w:tc>
          <w:tcPr>
            <w:tcW w:type="dxa" w:w="79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Comprehensive review of six research streams: multimodal conversational AI, LLMs and RAG, VLMs for disease, XAI in agriculture, Indic NLP, and agentic systems. Systematic gap analysis with evidence matrix.</w:t>
            </w:r>
          </w:p>
        </w:tc>
      </w:tr>
      <w:tr>
        <w:tc>
          <w:tcPr>
            <w:tcW w:type="dxa" w:w="1440"/>
            <w:tcBorders>
              <w:top w:val="single" w:color="CBD5E1" w:sz="1"/>
              <w:left w:val="single" w:color="CBD5E1" w:sz="1"/>
              <w:bottom w:val="single" w:color="CBD5E1" w:sz="1"/>
              <w:right w:val="single" w:color="CBD5E1" w:sz="1"/>
            </w:tcBorders>
            <w:shd w:fill="E6F1FB"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3
Research Gaps</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Formal specification of five research gaps (G1–G5), each with supporting evidence from prior work, scope of the gap, and mapping to research objectives.</w:t>
            </w:r>
          </w:p>
        </w:tc>
      </w:tr>
      <w:tr>
        <w:tc>
          <w:tcPr>
            <w:tcW w:type="dxa" w:w="14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4
Objectives</w:t>
            </w:r>
          </w:p>
        </w:tc>
        <w:tc>
          <w:tcPr>
            <w:tcW w:type="dxa" w:w="79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Eight measurable research objectives (O1–O8) with target metrics, mapped to research questions and research gaps.</w:t>
            </w:r>
          </w:p>
        </w:tc>
      </w:tr>
      <w:tr>
        <w:tc>
          <w:tcPr>
            <w:tcW w:type="dxa" w:w="1440"/>
            <w:tcBorders>
              <w:top w:val="single" w:color="CBD5E1" w:sz="1"/>
              <w:left w:val="single" w:color="CBD5E1" w:sz="1"/>
              <w:bottom w:val="single" w:color="CBD5E1" w:sz="1"/>
              <w:right w:val="single" w:color="CBD5E1" w:sz="1"/>
            </w:tcBorders>
            <w:shd w:fill="E6F1FB"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5
Methodology</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Complete system architecture across six layers. Detailed design of each specialist agent, RAG pipeline, orchestrator, voice pipeline, and XAI delivery mechanism.</w:t>
            </w:r>
          </w:p>
        </w:tc>
      </w:tr>
      <w:tr>
        <w:tc>
          <w:tcPr>
            <w:tcW w:type="dxa" w:w="14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6
Work Done So Far</w:t>
            </w:r>
          </w:p>
        </w:tc>
        <w:tc>
          <w:tcPr>
            <w:tcW w:type="dxa" w:w="79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Completed literature survey, architecture design, dataset preparation status, baseline model results, and preliminary RAG evaluation.</w:t>
            </w:r>
          </w:p>
        </w:tc>
      </w:tr>
      <w:tr>
        <w:tc>
          <w:tcPr>
            <w:tcW w:type="dxa" w:w="1440"/>
            <w:tcBorders>
              <w:top w:val="single" w:color="CBD5E1" w:sz="1"/>
              <w:left w:val="single" w:color="CBD5E1" w:sz="1"/>
              <w:bottom w:val="single" w:color="CBD5E1" w:sz="1"/>
              <w:right w:val="single" w:color="CBD5E1" w:sz="1"/>
            </w:tcBorders>
            <w:shd w:fill="E6F1FB"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7
Evaluation Framework</w:t>
            </w:r>
          </w:p>
        </w:tc>
        <w:tc>
          <w:tcPr>
            <w:tcW w:type="dxa" w:w="7920"/>
            <w:tcBorders>
              <w:top w:val="single" w:color="CBD5E1" w:sz="1"/>
              <w:left w:val="single" w:color="CBD5E1" w:sz="1"/>
              <w:bottom w:val="single" w:color="CBD5E1" w:sz="1"/>
              <w:right w:val="single" w:color="CBD5E1" w:sz="1"/>
            </w:tcBorders>
            <w:shd w:fill="FFFFFF"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Evaluation plan for each component — datasets, metrics, target values, ablation studies, and expert agronomist panel methodology.</w:t>
            </w:r>
          </w:p>
        </w:tc>
      </w:tr>
      <w:tr>
        <w:tc>
          <w:tcPr>
            <w:tcW w:type="dxa" w:w="1440"/>
            <w:tcBorders>
              <w:top w:val="single" w:color="CBD5E1" w:sz="1"/>
              <w:left w:val="single" w:color="CBD5E1" w:sz="1"/>
              <w:bottom w:val="single" w:color="CBD5E1" w:sz="1"/>
              <w:right w:val="single" w:color="CBD5E1" w:sz="1"/>
            </w:tcBorders>
            <w:shd w:fill="EEEDFE" w:val="clear"/>
            <w:tcMar>
              <w:top w:type="dxa" w:w="100"/>
              <w:left w:type="dxa" w:w="150"/>
              <w:bottom w:type="dxa" w:w="100"/>
              <w:right w:type="dxa" w:w="150"/>
            </w:tcMar>
          </w:tcPr>
          <w:p>
            <w:pPr>
              <w:jc w:val="center"/>
            </w:pPr>
            <w:r>
              <w:rPr>
                <w:rFonts w:ascii="Arial" w:cs="Arial" w:eastAsia="Arial" w:hAnsi="Arial"/>
                <w:b/>
                <w:bCs/>
                <w:color w:val="534AB7"/>
                <w:sz w:val="19"/>
                <w:szCs w:val="19"/>
              </w:rPr>
              <w:t xml:space="preserve">Chapter 8
Conclusion</w:t>
            </w:r>
          </w:p>
        </w:tc>
        <w:tc>
          <w:tcPr>
            <w:tcW w:type="dxa" w:w="7920"/>
            <w:tcBorders>
              <w:top w:val="single" w:color="CBD5E1" w:sz="1"/>
              <w:left w:val="single" w:color="CBD5E1" w:sz="1"/>
              <w:bottom w:val="single" w:color="CBD5E1" w:sz="1"/>
              <w:right w:val="single" w:color="CBD5E1" w:sz="1"/>
            </w:tcBorders>
            <w:shd w:fill="F4F6F8" w:val="clear"/>
            <w:tcMar>
              <w:top w:type="dxa" w:w="100"/>
              <w:left w:type="dxa" w:w="150"/>
              <w:bottom w:type="dxa" w:w="100"/>
              <w:right w:type="dxa" w:w="150"/>
            </w:tcMar>
          </w:tcPr>
          <w:p>
            <w:pPr>
              <w:jc w:val="left"/>
            </w:pPr>
            <w:r>
              <w:rPr>
                <w:rFonts w:ascii="Arial" w:cs="Arial" w:eastAsia="Arial" w:hAnsi="Arial"/>
                <w:b w:val="false"/>
                <w:bCs w:val="false"/>
                <w:color w:val="1E293B"/>
                <w:sz w:val="19"/>
                <w:szCs w:val="19"/>
              </w:rPr>
              <w:t xml:space="preserve">Summary of contributions, timeline, expected impact, and directions for future work.</w:t>
            </w:r>
          </w:p>
        </w:tc>
      </w:tr>
    </w:tbl>
    <w:p>
      <w:pPr>
        <w:spacing w:after="200" w:before="60"/>
        <w:jc w:val="center"/>
      </w:pPr>
      <w:r>
        <w:rPr>
          <w:rFonts w:ascii="Arial" w:cs="Arial" w:eastAsia="Arial" w:hAnsi="Arial"/>
          <w:color w:val="64748B"/>
          <w:sz w:val="18"/>
          <w:szCs w:val="18"/>
        </w:rPr>
        <w:t xml:space="preserve">Table 1.4: Organisation of the thesis — chapter structure and content overview.</w:t>
      </w:r>
    </w:p>
    <w:p>
      <w:r>
        <w:br w:type="page"/>
      </w:r>
    </w:p>
    <w:p>
      <w:pPr>
        <w:pStyle w:val="Heading1"/>
        <w:pBdr>
          <w:bottom w:val="single" w:color="534AB7" w:sz="8" w:space="4"/>
        </w:pBdr>
        <w:spacing w:after="240" w:before="480"/>
      </w:pPr>
      <w:r>
        <w:rPr>
          <w:rFonts w:ascii="Arial" w:cs="Arial" w:eastAsia="Arial" w:hAnsi="Arial"/>
          <w:b/>
          <w:bCs/>
          <w:color w:val="0F2027"/>
          <w:sz w:val="36"/>
          <w:szCs w:val="36"/>
        </w:rPr>
        <w:t xml:space="preserve">References</w:t>
      </w:r>
    </w:p>
    <w:p>
      <w:pPr>
        <w:spacing w:after="160" w:before="0"/>
        <w:jc w:val="both"/>
      </w:pPr>
      <w:r>
        <w:rPr>
          <w:rFonts w:ascii="Arial" w:cs="Arial" w:eastAsia="Arial" w:hAnsi="Arial"/>
          <w:color w:val="64748B"/>
          <w:sz w:val="22"/>
          <w:szCs w:val="22"/>
        </w:rPr>
        <w:t xml:space="preserve">The following references are cited in Chapter 1. Full bibliographic details for all references are provided in the consolidated reference list at the end of the thesis.</w:t>
      </w:r>
    </w:p>
    <w:p>
      <w:pPr>
        <w:spacing w:after="80" w:before="0"/>
      </w:pPr>
      <w:r>
        <w:rPr>
          <w:rFonts w:ascii="Arial" w:cs="Arial" w:eastAsia="Arial" w:hAnsi="Arial"/>
          <w:color w:val="1E293B"/>
          <w:sz w:val="22"/>
          <w:szCs w:val="22"/>
        </w:rPr>
        <w:t xml:space="preserve"/>
      </w:r>
    </w:p>
    <w:p>
      <w:pPr>
        <w:spacing w:after="100" w:before="0"/>
        <w:ind w:left="540" w:hanging="540"/>
      </w:pPr>
      <w:r>
        <w:rPr>
          <w:rFonts w:ascii="Arial" w:cs="Arial" w:eastAsia="Arial" w:hAnsi="Arial"/>
          <w:b/>
          <w:bCs/>
          <w:color w:val="534AB7"/>
          <w:sz w:val="19"/>
          <w:szCs w:val="19"/>
        </w:rPr>
        <w:t xml:space="preserve">[1]  </w:t>
      </w:r>
      <w:r>
        <w:rPr>
          <w:rFonts w:ascii="Arial" w:cs="Arial" w:eastAsia="Arial" w:hAnsi="Arial"/>
          <w:color w:val="334455"/>
          <w:sz w:val="19"/>
          <w:szCs w:val="19"/>
        </w:rPr>
        <w:t xml:space="preserve">Agricultural Census of India 2021. Ministry of Agriculture and Farmers Welfare, Government of India, 2021. Available at: agcensus.nic.in</w:t>
      </w:r>
    </w:p>
    <w:p>
      <w:pPr>
        <w:spacing w:after="100" w:before="0"/>
        <w:ind w:left="540" w:hanging="540"/>
      </w:pPr>
      <w:r>
        <w:rPr>
          <w:rFonts w:ascii="Arial" w:cs="Arial" w:eastAsia="Arial" w:hAnsi="Arial"/>
          <w:b/>
          <w:bCs/>
          <w:color w:val="534AB7"/>
          <w:sz w:val="19"/>
          <w:szCs w:val="19"/>
        </w:rPr>
        <w:t xml:space="preserve">[2]  </w:t>
      </w:r>
      <w:r>
        <w:rPr>
          <w:rFonts w:ascii="Arial" w:cs="Arial" w:eastAsia="Arial" w:hAnsi="Arial"/>
          <w:color w:val="334455"/>
          <w:sz w:val="19"/>
          <w:szCs w:val="19"/>
        </w:rPr>
        <w:t xml:space="preserve">Ministry of Agriculture and Farmers Welfare (MoAFW). Annual Report 2023–24. Government of India, New Delhi, 2024.</w:t>
      </w:r>
    </w:p>
    <w:p>
      <w:pPr>
        <w:spacing w:after="100" w:before="0"/>
        <w:ind w:left="540" w:hanging="540"/>
      </w:pPr>
      <w:r>
        <w:rPr>
          <w:rFonts w:ascii="Arial" w:cs="Arial" w:eastAsia="Arial" w:hAnsi="Arial"/>
          <w:b/>
          <w:bCs/>
          <w:color w:val="534AB7"/>
          <w:sz w:val="19"/>
          <w:szCs w:val="19"/>
        </w:rPr>
        <w:t xml:space="preserve">[3]  </w:t>
      </w:r>
      <w:r>
        <w:rPr>
          <w:rFonts w:ascii="Arial" w:cs="Arial" w:eastAsia="Arial" w:hAnsi="Arial"/>
          <w:color w:val="334455"/>
          <w:sz w:val="19"/>
          <w:szCs w:val="19"/>
        </w:rPr>
        <w:t xml:space="preserve">Indian Council of Agricultural Research (ICAR). Annual Report 2022–23. ICAR, New Delhi, 2023.</w:t>
      </w:r>
    </w:p>
    <w:p>
      <w:pPr>
        <w:spacing w:after="100" w:before="0"/>
        <w:ind w:left="540" w:hanging="540"/>
      </w:pPr>
      <w:r>
        <w:rPr>
          <w:rFonts w:ascii="Arial" w:cs="Arial" w:eastAsia="Arial" w:hAnsi="Arial"/>
          <w:b/>
          <w:bCs/>
          <w:color w:val="534AB7"/>
          <w:sz w:val="19"/>
          <w:szCs w:val="19"/>
        </w:rPr>
        <w:t xml:space="preserve">[4]  </w:t>
      </w:r>
      <w:r>
        <w:rPr>
          <w:rFonts w:ascii="Arial" w:cs="Arial" w:eastAsia="Arial" w:hAnsi="Arial"/>
          <w:color w:val="334455"/>
          <w:sz w:val="19"/>
          <w:szCs w:val="19"/>
        </w:rPr>
        <w:t xml:space="preserve">Food and Agriculture Organization of the United Nations (FAO). The State of Food and Agriculture 2022: Leveraging Automation in Agriculture. FAO, Rome, 2022. ISBN: 978-92-5-136500-4.</w:t>
      </w:r>
    </w:p>
    <w:p>
      <w:pPr>
        <w:spacing w:after="100" w:before="0"/>
        <w:ind w:left="540" w:hanging="540"/>
      </w:pPr>
      <w:r>
        <w:rPr>
          <w:rFonts w:ascii="Arial" w:cs="Arial" w:eastAsia="Arial" w:hAnsi="Arial"/>
          <w:b/>
          <w:bCs/>
          <w:color w:val="534AB7"/>
          <w:sz w:val="19"/>
          <w:szCs w:val="19"/>
        </w:rPr>
        <w:t xml:space="preserve">[5]  </w:t>
      </w:r>
      <w:r>
        <w:rPr>
          <w:rFonts w:ascii="Arial" w:cs="Arial" w:eastAsia="Arial" w:hAnsi="Arial"/>
          <w:color w:val="334455"/>
          <w:sz w:val="19"/>
          <w:szCs w:val="19"/>
        </w:rPr>
        <w:t xml:space="preserve">National Bank for Agriculture and Rural Development (NABARD). Rural Pulse Survey 2023. NABARD, Mumbai, 2023.</w:t>
      </w:r>
    </w:p>
    <w:p>
      <w:pPr>
        <w:spacing w:after="100" w:before="0"/>
        <w:ind w:left="540" w:hanging="540"/>
      </w:pPr>
      <w:r>
        <w:rPr>
          <w:rFonts w:ascii="Arial" w:cs="Arial" w:eastAsia="Arial" w:hAnsi="Arial"/>
          <w:b/>
          <w:bCs/>
          <w:color w:val="534AB7"/>
          <w:sz w:val="19"/>
          <w:szCs w:val="19"/>
        </w:rPr>
        <w:t xml:space="preserve">[6]  </w:t>
      </w:r>
      <w:r>
        <w:rPr>
          <w:rFonts w:ascii="Arial" w:cs="Arial" w:eastAsia="Arial" w:hAnsi="Arial"/>
          <w:color w:val="334455"/>
          <w:sz w:val="19"/>
          <w:szCs w:val="19"/>
        </w:rPr>
        <w:t xml:space="preserve">eNAM Annual Report 2022–23. National Agriculture Market, Ministry of Agriculture, Government of India, 2023.</w:t>
      </w:r>
    </w:p>
    <w:p>
      <w:pPr>
        <w:spacing w:after="100" w:before="0"/>
        <w:ind w:left="540" w:hanging="540"/>
      </w:pPr>
      <w:r>
        <w:rPr>
          <w:rFonts w:ascii="Arial" w:cs="Arial" w:eastAsia="Arial" w:hAnsi="Arial"/>
          <w:b/>
          <w:bCs/>
          <w:color w:val="534AB7"/>
          <w:sz w:val="19"/>
          <w:szCs w:val="19"/>
        </w:rPr>
        <w:t xml:space="preserve">[7]  </w:t>
      </w:r>
      <w:r>
        <w:rPr>
          <w:rFonts w:ascii="Arial" w:cs="Arial" w:eastAsia="Arial" w:hAnsi="Arial"/>
          <w:color w:val="334455"/>
          <w:sz w:val="19"/>
          <w:szCs w:val="19"/>
        </w:rPr>
        <w:t xml:space="preserve">ASSOCHAM. Agricultural Losses Due to Crop Disease and Market Asymmetry: India 2023. Associated Chambers of Commerce and Industry of India, 2023.</w:t>
      </w:r>
    </w:p>
    <w:p>
      <w:pPr>
        <w:spacing w:after="100" w:before="0"/>
        <w:ind w:left="540" w:hanging="540"/>
      </w:pPr>
      <w:r>
        <w:rPr>
          <w:rFonts w:ascii="Arial" w:cs="Arial" w:eastAsia="Arial" w:hAnsi="Arial"/>
          <w:b/>
          <w:bCs/>
          <w:color w:val="534AB7"/>
          <w:sz w:val="19"/>
          <w:szCs w:val="19"/>
        </w:rPr>
        <w:t xml:space="preserve">[8]  </w:t>
      </w:r>
      <w:r>
        <w:rPr>
          <w:rFonts w:ascii="Arial" w:cs="Arial" w:eastAsia="Arial" w:hAnsi="Arial"/>
          <w:color w:val="334455"/>
          <w:sz w:val="19"/>
          <w:szCs w:val="19"/>
        </w:rPr>
        <w:t xml:space="preserve">Farmer.Chat: Scaling AI-Powered Agricultural Services for Smallholder Farmers. ACM, 2024. arXiv:2409.08916. DOI: 10.1145/xxxxxxx.</w:t>
      </w:r>
    </w:p>
    <w:p>
      <w:pPr>
        <w:spacing w:after="100" w:before="0"/>
        <w:ind w:left="540" w:hanging="540"/>
      </w:pPr>
      <w:r>
        <w:rPr>
          <w:rFonts w:ascii="Arial" w:cs="Arial" w:eastAsia="Arial" w:hAnsi="Arial"/>
          <w:b/>
          <w:bCs/>
          <w:color w:val="534AB7"/>
          <w:sz w:val="19"/>
          <w:szCs w:val="19"/>
        </w:rPr>
        <w:t xml:space="preserve">[9]  </w:t>
      </w:r>
      <w:r>
        <w:rPr>
          <w:rFonts w:ascii="Arial" w:cs="Arial" w:eastAsia="Arial" w:hAnsi="Arial"/>
          <w:color w:val="334455"/>
          <w:sz w:val="19"/>
          <w:szCs w:val="19"/>
        </w:rPr>
        <w:t xml:space="preserve">AgriDoctor: A Multimodal Intelligent Assistant for Crop Disease Diagnosis and Agricultural Knowledge Interaction. IEEE / arXiv:2509.17044, September 2025.</w:t>
      </w:r>
    </w:p>
    <w:p>
      <w:pPr>
        <w:spacing w:after="100" w:before="0"/>
        <w:ind w:left="540" w:hanging="540"/>
      </w:pPr>
      <w:r>
        <w:rPr>
          <w:rFonts w:ascii="Arial" w:cs="Arial" w:eastAsia="Arial" w:hAnsi="Arial"/>
          <w:b/>
          <w:bCs/>
          <w:color w:val="534AB7"/>
          <w:sz w:val="19"/>
          <w:szCs w:val="19"/>
        </w:rPr>
        <w:t xml:space="preserve">[10]  </w:t>
      </w:r>
      <w:r>
        <w:rPr>
          <w:rFonts w:ascii="Arial" w:cs="Arial" w:eastAsia="Arial" w:hAnsi="Arial"/>
          <w:color w:val="334455"/>
          <w:sz w:val="19"/>
          <w:szCs w:val="19"/>
        </w:rPr>
        <w:t xml:space="preserve">AgriGPT: A Large Language Model Ecosystem for Agriculture with Tri-RAG and Multi-Agent Data Engine. arXiv:2508.08632, August 2025.</w:t>
      </w:r>
    </w:p>
    <w:p>
      <w:pPr>
        <w:spacing w:after="100" w:before="0"/>
        <w:ind w:left="540" w:hanging="540"/>
      </w:pPr>
      <w:r>
        <w:rPr>
          <w:rFonts w:ascii="Arial" w:cs="Arial" w:eastAsia="Arial" w:hAnsi="Arial"/>
          <w:b/>
          <w:bCs/>
          <w:color w:val="534AB7"/>
          <w:sz w:val="19"/>
          <w:szCs w:val="19"/>
        </w:rPr>
        <w:t xml:space="preserve">[11]  </w:t>
      </w:r>
      <w:r>
        <w:rPr>
          <w:rFonts w:ascii="Arial" w:cs="Arial" w:eastAsia="Arial" w:hAnsi="Arial"/>
          <w:color w:val="334455"/>
          <w:sz w:val="19"/>
          <w:szCs w:val="19"/>
        </w:rPr>
        <w:t xml:space="preserve">AgriGPT-VL: An Agricultural Vision-Language Understanding Suite with Agri-3M-VL Dataset. arXiv:2510.04002, October 2025.</w:t>
      </w:r>
    </w:p>
    <w:p>
      <w:pPr>
        <w:spacing w:after="100" w:before="0"/>
        <w:ind w:left="540" w:hanging="540"/>
      </w:pPr>
      <w:r>
        <w:rPr>
          <w:rFonts w:ascii="Arial" w:cs="Arial" w:eastAsia="Arial" w:hAnsi="Arial"/>
          <w:b/>
          <w:bCs/>
          <w:color w:val="534AB7"/>
          <w:sz w:val="19"/>
          <w:szCs w:val="19"/>
        </w:rPr>
        <w:t xml:space="preserve">[12]  </w:t>
      </w:r>
      <w:r>
        <w:rPr>
          <w:rFonts w:ascii="Arial" w:cs="Arial" w:eastAsia="Arial" w:hAnsi="Arial"/>
          <w:color w:val="334455"/>
          <w:sz w:val="19"/>
          <w:szCs w:val="19"/>
        </w:rPr>
        <w:t xml:space="preserve">AgriM-LLM: An Agriculture-Specific Multimodal Large Language Model for Crop Disease and Pest Management. Preprints.org, January 2026. DOI: 10.20944/preprints202601.0646.v1.</w:t>
      </w:r>
    </w:p>
    <w:p>
      <w:pPr>
        <w:spacing w:after="100" w:before="0"/>
        <w:ind w:left="540" w:hanging="540"/>
      </w:pPr>
      <w:r>
        <w:rPr>
          <w:rFonts w:ascii="Arial" w:cs="Arial" w:eastAsia="Arial" w:hAnsi="Arial"/>
          <w:b/>
          <w:bCs/>
          <w:color w:val="534AB7"/>
          <w:sz w:val="19"/>
          <w:szCs w:val="19"/>
        </w:rPr>
        <w:t xml:space="preserve">[13]  </w:t>
      </w:r>
      <w:r>
        <w:rPr>
          <w:rFonts w:ascii="Arial" w:cs="Arial" w:eastAsia="Arial" w:hAnsi="Arial"/>
          <w:color w:val="334455"/>
          <w:sz w:val="19"/>
          <w:szCs w:val="19"/>
        </w:rPr>
        <w:t xml:space="preserve">AgroAskAI: A Multi-Agentic Framework for Climate Adaptation Decision Support in Agriculture. arXiv, December 2024.</w:t>
      </w:r>
    </w:p>
    <w:p>
      <w:pPr>
        <w:spacing w:after="100" w:before="0"/>
        <w:ind w:left="540" w:hanging="540"/>
      </w:pPr>
      <w:r>
        <w:rPr>
          <w:rFonts w:ascii="Arial" w:cs="Arial" w:eastAsia="Arial" w:hAnsi="Arial"/>
          <w:b/>
          <w:bCs/>
          <w:color w:val="534AB7"/>
          <w:sz w:val="19"/>
          <w:szCs w:val="19"/>
        </w:rPr>
        <w:t xml:space="preserve">[14]  </w:t>
      </w:r>
      <w:r>
        <w:rPr>
          <w:rFonts w:ascii="Arial" w:cs="Arial" w:eastAsia="Arial" w:hAnsi="Arial"/>
          <w:color w:val="334455"/>
          <w:sz w:val="19"/>
          <w:szCs w:val="19"/>
        </w:rPr>
        <w:t xml:space="preserve">MIRAGE: A Benchmark for Multimodal Information-Seeking and Reasoning in Agricultural Expert-Guided Conversations. arXiv, 2025.</w:t>
      </w:r>
    </w:p>
    <w:p>
      <w:pPr>
        <w:spacing w:after="100" w:before="0"/>
        <w:ind w:left="540" w:hanging="540"/>
      </w:pPr>
      <w:r>
        <w:rPr>
          <w:rFonts w:ascii="Arial" w:cs="Arial" w:eastAsia="Arial" w:hAnsi="Arial"/>
          <w:b/>
          <w:bCs/>
          <w:color w:val="534AB7"/>
          <w:sz w:val="19"/>
          <w:szCs w:val="19"/>
        </w:rPr>
        <w:t xml:space="preserve">[15]  </w:t>
      </w:r>
      <w:r>
        <w:rPr>
          <w:rFonts w:ascii="Arial" w:cs="Arial" w:eastAsia="Arial" w:hAnsi="Arial"/>
          <w:color w:val="334455"/>
          <w:sz w:val="19"/>
          <w:szCs w:val="19"/>
        </w:rPr>
        <w:t xml:space="preserve">AgMMU: Agricultural Multimodal Understanding and Reasoning Benchmark. arXiv, April 2025.</w:t>
      </w:r>
    </w:p>
    <w:p>
      <w:pPr>
        <w:spacing w:after="100" w:before="0"/>
        <w:ind w:left="540" w:hanging="540"/>
      </w:pPr>
      <w:r>
        <w:rPr>
          <w:rFonts w:ascii="Arial" w:cs="Arial" w:eastAsia="Arial" w:hAnsi="Arial"/>
          <w:b/>
          <w:bCs/>
          <w:color w:val="534AB7"/>
          <w:sz w:val="19"/>
          <w:szCs w:val="19"/>
        </w:rPr>
        <w:t xml:space="preserve">[16]  </w:t>
      </w:r>
      <w:r>
        <w:rPr>
          <w:rFonts w:ascii="Arial" w:cs="Arial" w:eastAsia="Arial" w:hAnsi="Arial"/>
          <w:color w:val="334455"/>
          <w:sz w:val="19"/>
          <w:szCs w:val="19"/>
        </w:rPr>
        <w:t xml:space="preserve">Agentic AI-Driven Autonomous Decision Support System for Smart Agriculture (CropiBot). Scientific Reports (Nature), 2026. DOI: 10.1038/s41598-026-xxxxx.</w:t>
      </w:r>
    </w:p>
    <w:p>
      <w:pPr>
        <w:spacing w:after="100" w:before="0"/>
        <w:ind w:left="540" w:hanging="540"/>
      </w:pPr>
      <w:r>
        <w:rPr>
          <w:rFonts w:ascii="Arial" w:cs="Arial" w:eastAsia="Arial" w:hAnsi="Arial"/>
          <w:b/>
          <w:bCs/>
          <w:color w:val="534AB7"/>
          <w:sz w:val="19"/>
          <w:szCs w:val="19"/>
        </w:rPr>
        <w:t xml:space="preserve">[17]  </w:t>
      </w:r>
      <w:r>
        <w:rPr>
          <w:rFonts w:ascii="Arial" w:cs="Arial" w:eastAsia="Arial" w:hAnsi="Arial"/>
          <w:color w:val="334455"/>
          <w:sz w:val="19"/>
          <w:szCs w:val="19"/>
        </w:rPr>
        <w:t xml:space="preserve">Benchmarking ASR for Indian Languages in Agricultural Contexts. arXiv, 2025.</w:t>
      </w:r>
    </w:p>
    <w:p>
      <w:pPr>
        <w:spacing w:after="100" w:before="0"/>
        <w:ind w:left="540" w:hanging="540"/>
      </w:pPr>
      <w:r>
        <w:rPr>
          <w:rFonts w:ascii="Arial" w:cs="Arial" w:eastAsia="Arial" w:hAnsi="Arial"/>
          <w:b/>
          <w:bCs/>
          <w:color w:val="534AB7"/>
          <w:sz w:val="19"/>
          <w:szCs w:val="19"/>
        </w:rPr>
        <w:t xml:space="preserve">[18]  </w:t>
      </w:r>
      <w:r>
        <w:rPr>
          <w:rFonts w:ascii="Arial" w:cs="Arial" w:eastAsia="Arial" w:hAnsi="Arial"/>
          <w:color w:val="334455"/>
          <w:sz w:val="19"/>
          <w:szCs w:val="19"/>
        </w:rPr>
        <w:t xml:space="preserve">Ministère de l'Électronique et de l'Information (MeitY). Bhashini: Digital Language Inclusion Platform. Government of India, 2024. Available at: bhashini.gov.in.</w:t>
      </w:r>
    </w:p>
    <w:p>
      <w:pPr>
        <w:spacing w:after="100" w:before="0"/>
        <w:ind w:left="540" w:hanging="540"/>
      </w:pPr>
      <w:r>
        <w:rPr>
          <w:rFonts w:ascii="Arial" w:cs="Arial" w:eastAsia="Arial" w:hAnsi="Arial"/>
          <w:b/>
          <w:bCs/>
          <w:color w:val="534AB7"/>
          <w:sz w:val="19"/>
          <w:szCs w:val="19"/>
        </w:rPr>
        <w:t xml:space="preserve">[19]  </w:t>
      </w:r>
      <w:r>
        <w:rPr>
          <w:rFonts w:ascii="Arial" w:cs="Arial" w:eastAsia="Arial" w:hAnsi="Arial"/>
          <w:color w:val="334455"/>
          <w:sz w:val="19"/>
          <w:szCs w:val="19"/>
        </w:rPr>
        <w:t xml:space="preserve">LLMI-CDP: A Large Language Model for Multimodal Identification of Crop Diseases and Pests. Scientific Reports (Nature), 2025. DOI: 10.1038/s41598-025-01908-0.</w:t>
      </w:r>
    </w:p>
    <w:p>
      <w:pPr>
        <w:spacing w:after="100" w:before="0"/>
        <w:ind w:left="540" w:hanging="540"/>
      </w:pPr>
      <w:r>
        <w:rPr>
          <w:rFonts w:ascii="Arial" w:cs="Arial" w:eastAsia="Arial" w:hAnsi="Arial"/>
          <w:b/>
          <w:bCs/>
          <w:color w:val="534AB7"/>
          <w:sz w:val="19"/>
          <w:szCs w:val="19"/>
        </w:rPr>
        <w:t xml:space="preserve">[20]  </w:t>
      </w:r>
      <w:r>
        <w:rPr>
          <w:rFonts w:ascii="Arial" w:cs="Arial" w:eastAsia="Arial" w:hAnsi="Arial"/>
          <w:color w:val="334455"/>
          <w:sz w:val="19"/>
          <w:szCs w:val="19"/>
        </w:rPr>
        <w:t xml:space="preserve">Enhancing Crop Recommendation with Explainable Artificial Intelligence (XAI-CROP). Neural Computing and Applications, Springer, 2024. DOI: 10.1007/s00521-024-xxxxx.</w:t>
      </w:r>
    </w:p>
    <w:p>
      <w:pPr>
        <w:spacing w:after="100" w:before="0"/>
        <w:ind w:left="540" w:hanging="540"/>
      </w:pPr>
      <w:r>
        <w:rPr>
          <w:rFonts w:ascii="Arial" w:cs="Arial" w:eastAsia="Arial" w:hAnsi="Arial"/>
          <w:b/>
          <w:bCs/>
          <w:color w:val="534AB7"/>
          <w:sz w:val="19"/>
          <w:szCs w:val="19"/>
        </w:rPr>
        <w:t xml:space="preserve">[21]  </w:t>
      </w:r>
      <w:r>
        <w:rPr>
          <w:rFonts w:ascii="Arial" w:cs="Arial" w:eastAsia="Arial" w:hAnsi="Arial"/>
          <w:color w:val="334455"/>
          <w:sz w:val="19"/>
          <w:szCs w:val="19"/>
        </w:rPr>
        <w:t xml:space="preserve">RAG-Based Large Language Model Advisory Framework for Farmers. Journal of Agricultural Engineering, 2026.</w:t>
      </w:r>
    </w:p>
    <w:p>
      <w:pPr>
        <w:spacing w:after="100" w:before="0"/>
        <w:ind w:left="540" w:hanging="540"/>
      </w:pPr>
      <w:r>
        <w:rPr>
          <w:rFonts w:ascii="Arial" w:cs="Arial" w:eastAsia="Arial" w:hAnsi="Arial"/>
          <w:b/>
          <w:bCs/>
          <w:color w:val="534AB7"/>
          <w:sz w:val="19"/>
          <w:szCs w:val="19"/>
        </w:rPr>
        <w:t xml:space="preserve">[22]  </w:t>
      </w:r>
      <w:r>
        <w:rPr>
          <w:rFonts w:ascii="Arial" w:cs="Arial" w:eastAsia="Arial" w:hAnsi="Arial"/>
          <w:color w:val="334455"/>
          <w:sz w:val="19"/>
          <w:szCs w:val="19"/>
        </w:rPr>
        <w:t xml:space="preserve">OpenAI. GPT-4 Technical Report. arXiv:2303.08774, 2023.</w:t>
      </w:r>
    </w:p>
    <w:p>
      <w:pPr>
        <w:spacing w:after="100" w:before="0"/>
        <w:ind w:left="540" w:hanging="540"/>
      </w:pPr>
      <w:r>
        <w:rPr>
          <w:rFonts w:ascii="Arial" w:cs="Arial" w:eastAsia="Arial" w:hAnsi="Arial"/>
          <w:b/>
          <w:bCs/>
          <w:color w:val="534AB7"/>
          <w:sz w:val="19"/>
          <w:szCs w:val="19"/>
        </w:rPr>
        <w:t xml:space="preserve">[23]  </w:t>
      </w:r>
      <w:r>
        <w:rPr>
          <w:rFonts w:ascii="Arial" w:cs="Arial" w:eastAsia="Arial" w:hAnsi="Arial"/>
          <w:color w:val="334455"/>
          <w:sz w:val="19"/>
          <w:szCs w:val="19"/>
        </w:rPr>
        <w:t xml:space="preserve">Google DeepMind. Gemini 1.5 Pro: Unlocking Long Context Capabilities. Technical Report, 2024.</w:t>
      </w:r>
    </w:p>
    <w:p>
      <w:pPr>
        <w:spacing w:after="100" w:before="0"/>
        <w:ind w:left="540" w:hanging="540"/>
      </w:pPr>
      <w:r>
        <w:rPr>
          <w:rFonts w:ascii="Arial" w:cs="Arial" w:eastAsia="Arial" w:hAnsi="Arial"/>
          <w:b/>
          <w:bCs/>
          <w:color w:val="534AB7"/>
          <w:sz w:val="19"/>
          <w:szCs w:val="19"/>
        </w:rPr>
        <w:t xml:space="preserve">[24]  </w:t>
      </w:r>
      <w:r>
        <w:rPr>
          <w:rFonts w:ascii="Arial" w:cs="Arial" w:eastAsia="Arial" w:hAnsi="Arial"/>
          <w:color w:val="334455"/>
          <w:sz w:val="19"/>
          <w:szCs w:val="19"/>
        </w:rPr>
        <w:t xml:space="preserve">Dosovitskiy, A. et al. An Image is Worth 16×16 Words: Transformers for Image Recognition at Scale. ICLR, 2021. arXiv:2010.11929.</w:t>
      </w:r>
    </w:p>
    <w:p>
      <w:pPr>
        <w:spacing w:after="100" w:before="0"/>
        <w:ind w:left="540" w:hanging="540"/>
      </w:pPr>
      <w:r>
        <w:rPr>
          <w:rFonts w:ascii="Arial" w:cs="Arial" w:eastAsia="Arial" w:hAnsi="Arial"/>
          <w:b/>
          <w:bCs/>
          <w:color w:val="534AB7"/>
          <w:sz w:val="19"/>
          <w:szCs w:val="19"/>
        </w:rPr>
        <w:t xml:space="preserve">[25]  </w:t>
      </w:r>
      <w:r>
        <w:rPr>
          <w:rFonts w:ascii="Arial" w:cs="Arial" w:eastAsia="Arial" w:hAnsi="Arial"/>
          <w:color w:val="334455"/>
          <w:sz w:val="19"/>
          <w:szCs w:val="19"/>
        </w:rPr>
        <w:t xml:space="preserve">Hu, E. et al. LoRA: Low-Rank Adaptation of Large Language Models. ICLR, 2022. arXiv:2106.09685.</w:t>
      </w:r>
    </w:p>
    <w:p>
      <w:pPr>
        <w:spacing w:after="100" w:before="0"/>
        <w:ind w:left="540" w:hanging="540"/>
      </w:pPr>
      <w:r>
        <w:rPr>
          <w:rFonts w:ascii="Arial" w:cs="Arial" w:eastAsia="Arial" w:hAnsi="Arial"/>
          <w:b/>
          <w:bCs/>
          <w:color w:val="534AB7"/>
          <w:sz w:val="19"/>
          <w:szCs w:val="19"/>
        </w:rPr>
        <w:t xml:space="preserve">[26]  </w:t>
      </w:r>
      <w:r>
        <w:rPr>
          <w:rFonts w:ascii="Arial" w:cs="Arial" w:eastAsia="Arial" w:hAnsi="Arial"/>
          <w:color w:val="334455"/>
          <w:sz w:val="19"/>
          <w:szCs w:val="19"/>
        </w:rPr>
        <w:t xml:space="preserve">Lewis, P. et al. Retrieval-Augmented Generation for Knowledge-Intensive NLP Tasks. NeurIPS, 2020. arXiv:2005.11401.</w:t>
      </w:r>
    </w:p>
    <w:p>
      <w:pPr>
        <w:spacing w:after="100" w:before="0"/>
        <w:ind w:left="540" w:hanging="540"/>
      </w:pPr>
      <w:r>
        <w:rPr>
          <w:rFonts w:ascii="Arial" w:cs="Arial" w:eastAsia="Arial" w:hAnsi="Arial"/>
          <w:b/>
          <w:bCs/>
          <w:color w:val="534AB7"/>
          <w:sz w:val="19"/>
          <w:szCs w:val="19"/>
        </w:rPr>
        <w:t xml:space="preserve">[27]  </w:t>
      </w:r>
      <w:r>
        <w:rPr>
          <w:rFonts w:ascii="Arial" w:cs="Arial" w:eastAsia="Arial" w:hAnsi="Arial"/>
          <w:color w:val="334455"/>
          <w:sz w:val="19"/>
          <w:szCs w:val="19"/>
        </w:rPr>
        <w:t xml:space="preserve">Ministry of Agriculture and Farmers Welfare. National Agriculture Market (eNAM) Platform. Government of India, 2016. Available at: enam.gov.in.</w:t>
      </w:r>
    </w:p>
    <w:p>
      <w:pPr>
        <w:spacing w:after="100" w:before="0"/>
        <w:ind w:left="540" w:hanging="540"/>
      </w:pPr>
      <w:r>
        <w:rPr>
          <w:rFonts w:ascii="Arial" w:cs="Arial" w:eastAsia="Arial" w:hAnsi="Arial"/>
          <w:b/>
          <w:bCs/>
          <w:color w:val="534AB7"/>
          <w:sz w:val="19"/>
          <w:szCs w:val="19"/>
        </w:rPr>
        <w:t xml:space="preserve">[28]  </w:t>
      </w:r>
      <w:r>
        <w:rPr>
          <w:rFonts w:ascii="Arial" w:cs="Arial" w:eastAsia="Arial" w:hAnsi="Arial"/>
          <w:color w:val="334455"/>
          <w:sz w:val="19"/>
          <w:szCs w:val="19"/>
        </w:rPr>
        <w:t xml:space="preserve">Department of Agriculture and Farmers Welfare (DAHD). Soil Health Card Scheme Implementation Report. Government of India, 2023.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34AB7" w:sz="4" w:space="4"/>
      </w:pBdr>
      <w:spacing w:after="0" w:before="80"/>
    </w:pPr>
    <w:r>
      <w:rPr>
        <w:rFonts w:ascii="Arial" w:cs="Arial" w:eastAsia="Arial" w:hAnsi="Arial"/>
        <w:color w:val="64748B"/>
        <w:sz w:val="18"/>
        <w:szCs w:val="18"/>
      </w:rPr>
      <w:t xml:space="preserve">[Student Name]  |  [Department]  |  [Institution]  |  2024–25</w:t>
    </w:r>
    <w:r>
      <w:rPr>
        <w:rFonts w:ascii="Arial" w:cs="Arial" w:eastAsia="Arial" w:hAnsi="Arial"/>
        <w:color w:val="64748B"/>
        <w:sz w:val="18"/>
        <w:szCs w:val="18"/>
      </w:rPr>
      <w:t xml:space="preserve">     Page </w:t>
    </w:r>
    <w:r>
      <w:rPr>
        <w:rFonts w:ascii="Arial" w:cs="Arial" w:eastAsia="Arial" w:hAnsi="Arial"/>
        <w:color w:val="534AB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spacing w:after="80" w:before="0"/>
    </w:pPr>
    <w:r>
      <w:rPr>
        <w:rFonts w:ascii="Arial" w:cs="Arial" w:eastAsia="Arial" w:hAnsi="Arial"/>
        <w:color w:val="64748B"/>
        <w:sz w:val="18"/>
        <w:szCs w:val="18"/>
      </w:rPr>
      <w:t xml:space="preserve">Chapter 1: Introduction</w:t>
    </w:r>
    <w:r>
      <w:rPr>
        <w:rFonts w:ascii="Arial" w:cs="Arial" w:eastAsia="Arial" w:hAnsi="Arial"/>
        <w:color w:val="534AB7"/>
        <w:sz w:val="18"/>
        <w:szCs w:val="18"/>
      </w:rPr>
      <w:t xml:space="preserve">  |  Towards a Next-Generation Agricultural Expert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202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2026-05-30T19:47:43.507Z</dcterms:created>
  <dcterms:modified xsi:type="dcterms:W3CDTF">2026-05-30T19:47:43.507Z</dcterms:modified>
</cp:coreProperties>
</file>

<file path=docProps/custom.xml><?xml version="1.0" encoding="utf-8"?>
<Properties xmlns="http://schemas.openxmlformats.org/officeDocument/2006/custom-properties" xmlns:vt="http://schemas.openxmlformats.org/officeDocument/2006/docPropsVTypes"/>
</file>