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4748B"/>
          <w:spacing w:val="200"/>
          <w:sz w:val="24"/>
          <w:szCs w:val="24"/>
        </w:rPr>
        <w:t xml:space="preserve">Chapter 4</w:t>
      </w:r>
    </w:p>
    <w:p>
      <w:pPr>
        <w:pStyle w:val="Heading1"/>
        <w:pBdr>
          <w:bottom w:val="single" w:color="534AB7" w:sz="8" w:space="4"/>
        </w:pBdr>
        <w:spacing w:after="240" w:before="480"/>
      </w:pPr>
      <w:r>
        <w:rPr>
          <w:rFonts w:ascii="Arial" w:cs="Arial" w:eastAsia="Arial" w:hAnsi="Arial"/>
          <w:b/>
          <w:bCs/>
          <w:color w:val="0F2027"/>
          <w:sz w:val="36"/>
          <w:szCs w:val="36"/>
        </w:rPr>
        <w:t xml:space="preserve">Research Objectives</w:t>
      </w:r>
    </w:p>
    <w:p>
      <w:pPr>
        <w:spacing w:after="160" w:before="0"/>
        <w:jc w:val="both"/>
      </w:pPr>
      <w:r>
        <w:rPr>
          <w:rFonts w:ascii="Arial" w:cs="Arial" w:eastAsia="Arial" w:hAnsi="Arial"/>
          <w:color w:val="1E293B"/>
          <w:sz w:val="22"/>
          <w:szCs w:val="22"/>
        </w:rPr>
        <w:t xml:space="preserve">This chapter defines the eight specific, measurable research objectives of the proposed system. Each objective is derived directly from a research gap identified in Chapter 3 and a research question from Chapter 1. The objectives are designed to be independently testable — each has a named target metric — yet collectively form an integrated system. Section 4.1 states the primary objective. Sections 4.2 through 4.9 detail each specific objective. Section 4.10 provides the complete gap-to-objective traceability matrix.</w:t>
      </w:r>
    </w:p>
    <w:p>
      <w:pPr>
        <w:spacing w:after="80" w:before="0"/>
      </w:pPr>
      <w:r>
        <w:rPr>
          <w:rFonts w:ascii="Arial" w:cs="Arial" w:eastAsia="Arial" w:hAnsi="Arial"/>
          <w:color w:val="1E293B"/>
          <w:sz w:val="22"/>
          <w:szCs w:val="22"/>
        </w:rPr>
        <w:t xml:space="preserve"/>
      </w:r>
    </w:p>
    <w:p>
      <w:pPr>
        <w:pStyle w:val="Heading2"/>
        <w:spacing w:after="120" w:before="280"/>
      </w:pPr>
      <w:r>
        <w:rPr>
          <w:rFonts w:ascii="Arial" w:cs="Arial" w:eastAsia="Arial" w:hAnsi="Arial"/>
          <w:b/>
          <w:bCs/>
          <w:color w:val="534AB7"/>
          <w:sz w:val="26"/>
          <w:szCs w:val="26"/>
        </w:rPr>
        <w:t xml:space="preserve">4.1  Primary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534AB7" w:sz="20"/>
              <w:bottom w:val="single" w:color="CBD5E1" w:sz="1"/>
              <w:right w:val="single" w:color="CBD5E1" w:sz="1"/>
            </w:tcBorders>
            <w:shd w:fill="EEEDFE" w:val="clear"/>
            <w:tcMar>
              <w:top w:type="dxa" w:w="180"/>
              <w:left w:type="dxa" w:w="240"/>
              <w:bottom w:type="dxa" w:w="180"/>
              <w:right w:type="dxa" w:w="220"/>
            </w:tcMar>
          </w:tcPr>
          <w:p>
            <w:pPr>
              <w:spacing w:after="80" w:before="0"/>
            </w:pPr>
            <w:r>
              <w:rPr>
                <w:rFonts w:ascii="Arial" w:cs="Arial" w:eastAsia="Arial" w:hAnsi="Arial"/>
                <w:b/>
                <w:bCs/>
                <w:color w:val="534AB7"/>
                <w:sz w:val="20"/>
                <w:szCs w:val="20"/>
              </w:rPr>
              <w:t xml:space="preserve">Primary Objective</w:t>
            </w:r>
          </w:p>
          <w:p>
            <w:pPr>
              <w:jc w:val="both"/>
            </w:pPr>
            <w:r>
              <w:rPr>
                <w:rFonts w:ascii="Arial" w:cs="Arial" w:eastAsia="Arial" w:hAnsi="Arial"/>
                <w:color w:val="1E293B"/>
                <w:sz w:val="22"/>
                <w:szCs w:val="22"/>
              </w:rPr>
              <w:t xml:space="preserve">To design, develop, and evaluate a </w:t>
            </w:r>
            <w:r>
              <w:rPr>
                <w:rFonts w:ascii="Arial" w:cs="Arial" w:eastAsia="Arial" w:hAnsi="Arial"/>
                <w:b/>
                <w:bCs/>
                <w:color w:val="1E293B"/>
                <w:sz w:val="22"/>
                <w:szCs w:val="22"/>
              </w:rPr>
              <w:t xml:space="preserve">deployment-ready multi-agent, multi-model agricultural expert system</w:t>
            </w:r>
            <w:r>
              <w:rPr>
                <w:rFonts w:ascii="Arial" w:cs="Arial" w:eastAsia="Arial" w:hAnsi="Arial"/>
                <w:color w:val="1E293B"/>
                <w:sz w:val="22"/>
                <w:szCs w:val="22"/>
              </w:rPr>
              <w:t xml:space="preserve"> for Indian smallholder farmers that integrates five specialist AI agents — disease diagnosis, nutrition deficiency, crop recommendation, weather and irrigation, and live market price advisory — orchestrated by an intent-routing backbone, grounded in a verified RAG knowledge base, augmented with farmer-facing explainability, and accessible via a multilingual Indic voice interface on a Progressive Web Application.</w:t>
            </w:r>
          </w:p>
        </w:tc>
      </w:tr>
    </w:tbl>
    <w:p>
      <w:pPr>
        <w:spacing w:after="80" w:before="0"/>
      </w:pPr>
      <w:r>
        <w:rPr>
          <w:rFonts w:ascii="Arial" w:cs="Arial" w:eastAsia="Arial" w:hAnsi="Arial"/>
          <w:color w:val="1E293B"/>
          <w:sz w:val="22"/>
          <w:szCs w:val="22"/>
        </w:rPr>
        <w:t xml:space="preserve"/>
      </w:r>
    </w:p>
    <w:p>
      <w:pPr>
        <w:pStyle w:val="Heading2"/>
        <w:spacing w:after="120" w:before="280"/>
      </w:pPr>
      <w:r>
        <w:rPr>
          <w:rFonts w:ascii="Arial" w:cs="Arial" w:eastAsia="Arial" w:hAnsi="Arial"/>
          <w:b/>
          <w:bCs/>
          <w:color w:val="534AB7"/>
          <w:sz w:val="26"/>
          <w:szCs w:val="26"/>
        </w:rPr>
        <w:t xml:space="preserve">4.2  Specific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534AB7" w:sz="18"/>
              <w:bottom w:val="single" w:color="CBD5E1" w:sz="1"/>
              <w:right w:val="single" w:color="CBD5E1" w:sz="1"/>
            </w:tcBorders>
            <w:shd w:fill="EEEDFE" w:val="clear"/>
            <w:tcMar>
              <w:top w:type="dxa" w:w="140"/>
              <w:left w:type="dxa" w:w="200"/>
              <w:bottom w:type="dxa" w:w="60"/>
              <w:right w:type="dxa" w:w="180"/>
            </w:tcMar>
          </w:tcPr>
          <w:p>
            <w:pPr>
              <w:spacing w:after="0" w:before="0"/>
            </w:pPr>
            <w:r>
              <w:rPr>
                <w:rFonts w:ascii="Arial" w:cs="Arial" w:eastAsia="Arial" w:hAnsi="Arial"/>
                <w:b/>
                <w:bCs/>
                <w:color w:val="534AB7"/>
                <w:sz w:val="22"/>
                <w:szCs w:val="22"/>
              </w:rPr>
              <w:t xml:space="preserve">O1  </w:t>
            </w:r>
            <w:r>
              <w:rPr>
                <w:rFonts w:ascii="Arial" w:cs="Arial" w:eastAsia="Arial" w:hAnsi="Arial"/>
                <w:b/>
                <w:bCs/>
                <w:color w:val="0F2027"/>
                <w:sz w:val="22"/>
                <w:szCs w:val="22"/>
              </w:rPr>
              <w:t xml:space="preserve">Multi-Agent Orchestration Architecture</w:t>
            </w:r>
          </w:p>
        </w:tc>
      </w:tr>
      <w:tr>
        <w:tc>
          <w:tcPr>
            <w:tcW w:type="dxa" w:w="9360"/>
            <w:tcBorders>
              <w:top w:val="none"/>
              <w:left w:val="single" w:color="534AB7" w:sz="18"/>
              <w:bottom w:val="single" w:color="CBD5E1" w:sz="1"/>
              <w:right w:val="single" w:color="CBD5E1" w:sz="1"/>
            </w:tcBorders>
            <w:shd w:fill="EEEDFE" w:val="clear"/>
            <w:tcMar>
              <w:top w:type="dxa" w:w="60"/>
              <w:left w:type="dxa" w:w="200"/>
              <w:bottom w:type="dxa" w:w="60"/>
              <w:right w:type="dxa" w:w="180"/>
            </w:tcMar>
          </w:tcPr>
          <w:p>
            <w:pPr>
              <w:spacing w:after="30" w:before="0"/>
            </w:pPr>
            <w:r>
              <w:rPr>
                <w:rFonts w:ascii="Arial" w:cs="Arial" w:eastAsia="Arial" w:hAnsi="Arial"/>
                <w:b/>
                <w:bCs/>
                <w:color w:val="534AB7"/>
                <w:sz w:val="19"/>
                <w:szCs w:val="19"/>
              </w:rPr>
              <w:t xml:space="preserve">Description</w:t>
            </w:r>
          </w:p>
          <w:p>
            <w:pPr>
              <w:spacing w:after="0" w:before="0"/>
              <w:jc w:val="both"/>
            </w:pPr>
            <w:r>
              <w:rPr>
                <w:rFonts w:ascii="Arial" w:cs="Arial" w:eastAsia="Arial" w:hAnsi="Arial"/>
                <w:color w:val="1E293B"/>
                <w:sz w:val="22"/>
                <w:szCs w:val="22"/>
              </w:rPr>
              <w:t xml:space="preserve">Design and implement a </w:t>
            </w:r>
            <w:r>
              <w:rPr>
                <w:rFonts w:ascii="Arial" w:cs="Arial" w:eastAsia="Arial" w:hAnsi="Arial"/>
                <w:b/>
                <w:bCs/>
                <w:color w:val="1E293B"/>
                <w:sz w:val="22"/>
                <w:szCs w:val="22"/>
              </w:rPr>
              <w:t xml:space="preserve">LangGraph-based orchestrator</w:t>
            </w:r>
            <w:r>
              <w:rPr>
                <w:rFonts w:ascii="Arial" w:cs="Arial" w:eastAsia="Arial" w:hAnsi="Arial"/>
                <w:color w:val="1E293B"/>
                <w:sz w:val="22"/>
                <w:szCs w:val="22"/>
              </w:rPr>
              <w:t xml:space="preserve"> that classifies incoming farmer queries into one of eight intent categories and dispatches inputs in parallel to the appropriate specialist agent(s). The orchestrator maintains multi-turn conversational state via Redis session memory and merges multi-agent responses into a single coherent advisory reply.</w:t>
            </w:r>
          </w:p>
        </w:tc>
      </w:tr>
      <w:tr>
        <w:tc>
          <w:tcPr>
            <w:tcW w:type="dxa" w:w="9360"/>
            <w:tcBorders>
              <w:top w:val="none"/>
              <w:left w:val="single" w:color="534AB7" w:sz="18"/>
              <w:bottom w:val="single" w:color="CBD5E1" w:sz="1"/>
              <w:right w:val="single" w:color="CBD5E1" w:sz="1"/>
            </w:tcBorders>
            <w:shd w:fill="EEEDFE" w:val="clear"/>
            <w:tcMar>
              <w:top w:type="dxa" w:w="60"/>
              <w:left w:type="dxa" w:w="200"/>
              <w:bottom w:type="dxa" w:w="60"/>
              <w:right w:type="dxa" w:w="180"/>
            </w:tcMar>
          </w:tcPr>
          <w:p>
            <w:pPr>
              <w:spacing w:after="30" w:before="0"/>
            </w:pPr>
            <w:r>
              <w:rPr>
                <w:rFonts w:ascii="Arial" w:cs="Arial" w:eastAsia="Arial" w:hAnsi="Arial"/>
                <w:b/>
                <w:bCs/>
                <w:color w:val="534AB7"/>
                <w:sz w:val="19"/>
                <w:szCs w:val="19"/>
              </w:rPr>
              <w:t xml:space="preserve">Gaps closed</w:t>
            </w:r>
          </w:p>
          <w:p>
            <w:pPr>
              <w:spacing w:after="0" w:before="0"/>
              <w:jc w:val="both"/>
            </w:pPr>
            <w:r>
              <w:rPr>
                <w:rFonts w:ascii="Arial" w:cs="Arial" w:eastAsia="Arial" w:hAnsi="Arial"/>
                <w:color w:val="1E293B"/>
                <w:sz w:val="22"/>
                <w:szCs w:val="22"/>
              </w:rPr>
              <w:t xml:space="preserve">G1 — No unified multimodal advisory session</w:t>
            </w:r>
          </w:p>
        </w:tc>
      </w:tr>
      <w:tr>
        <w:tc>
          <w:tcPr>
            <w:tcW w:type="dxa" w:w="9360"/>
            <w:tcBorders>
              <w:top w:val="none"/>
              <w:left w:val="single" w:color="534AB7" w:sz="18"/>
              <w:bottom w:val="single" w:color="CBD5E1" w:sz="1"/>
              <w:right w:val="single" w:color="CBD5E1" w:sz="1"/>
            </w:tcBorders>
            <w:shd w:fill="EEEDFE" w:val="clear"/>
            <w:tcMar>
              <w:top w:type="dxa" w:w="60"/>
              <w:left w:type="dxa" w:w="200"/>
              <w:bottom w:type="dxa" w:w="60"/>
              <w:right w:type="dxa" w:w="180"/>
            </w:tcMar>
          </w:tcPr>
          <w:p>
            <w:pPr>
              <w:spacing w:after="30" w:before="0"/>
            </w:pPr>
            <w:r>
              <w:rPr>
                <w:rFonts w:ascii="Arial" w:cs="Arial" w:eastAsia="Arial" w:hAnsi="Arial"/>
                <w:b/>
                <w:bCs/>
                <w:color w:val="534AB7"/>
                <w:sz w:val="19"/>
                <w:szCs w:val="19"/>
              </w:rPr>
              <w:t xml:space="preserve">Key technologies</w:t>
            </w:r>
          </w:p>
          <w:p>
            <w:pPr>
              <w:spacing w:after="0" w:before="0"/>
              <w:jc w:val="both"/>
            </w:pPr>
            <w:r>
              <w:rPr>
                <w:rFonts w:ascii="Arial" w:cs="Arial" w:eastAsia="Arial" w:hAnsi="Arial"/>
                <w:color w:val="1E293B"/>
                <w:sz w:val="22"/>
                <w:szCs w:val="22"/>
              </w:rPr>
              <w:t xml:space="preserve">LangGraph v1.1 · GPT-5.5 backbone · fine-tuned BERT-multilingual intent classifier · Redis session store · asyncio parallel dispatch</w:t>
            </w:r>
          </w:p>
        </w:tc>
      </w:tr>
      <w:tr>
        <w:tc>
          <w:tcPr>
            <w:tcW w:type="dxa" w:w="9360"/>
            <w:tcBorders>
              <w:top w:val="none"/>
              <w:left w:val="single" w:color="534AB7" w:sz="18"/>
              <w:bottom w:val="single" w:color="CBD5E1" w:sz="1"/>
              <w:right w:val="single" w:color="CBD5E1" w:sz="1"/>
            </w:tcBorders>
            <w:shd w:fill="EEEDFE" w:val="clear"/>
            <w:tcMar>
              <w:top w:type="dxa" w:w="60"/>
              <w:left w:type="dxa" w:w="200"/>
              <w:bottom w:type="dxa" w:w="60"/>
              <w:right w:type="dxa" w:w="180"/>
            </w:tcMar>
          </w:tcPr>
          <w:p>
            <w:pPr>
              <w:spacing w:after="30" w:before="0"/>
            </w:pPr>
            <w:r>
              <w:rPr>
                <w:rFonts w:ascii="Arial" w:cs="Arial" w:eastAsia="Arial" w:hAnsi="Arial"/>
                <w:b/>
                <w:bCs/>
                <w:color w:val="534AB7"/>
                <w:sz w:val="19"/>
                <w:szCs w:val="19"/>
              </w:rPr>
              <w:t xml:space="preserve">Target metrics</w:t>
            </w:r>
          </w:p>
          <w:p>
            <w:pPr>
              <w:spacing w:after="0" w:before="0"/>
              <w:jc w:val="both"/>
            </w:pPr>
            <w:r>
              <w:rPr>
                <w:rFonts w:ascii="Arial" w:cs="Arial" w:eastAsia="Arial" w:hAnsi="Arial"/>
                <w:color w:val="1E293B"/>
                <w:sz w:val="22"/>
                <w:szCs w:val="22"/>
              </w:rPr>
              <w:t xml:space="preserve">Intent classification accuracy &gt; 95% · End-to-end response latency &lt; 4 s (cloud) and &lt; 8 s (PWA offline cache)</w:t>
            </w:r>
          </w:p>
        </w:tc>
      </w:tr>
    </w:tbl>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993C1D" w:sz="18"/>
              <w:bottom w:val="single" w:color="CBD5E1" w:sz="1"/>
              <w:right w:val="single" w:color="CBD5E1" w:sz="1"/>
            </w:tcBorders>
            <w:shd w:fill="FAECE7" w:val="clear"/>
            <w:tcMar>
              <w:top w:type="dxa" w:w="140"/>
              <w:left w:type="dxa" w:w="200"/>
              <w:bottom w:type="dxa" w:w="60"/>
              <w:right w:type="dxa" w:w="180"/>
            </w:tcMar>
          </w:tcPr>
          <w:p>
            <w:pPr>
              <w:spacing w:after="0" w:before="0"/>
            </w:pPr>
            <w:r>
              <w:rPr>
                <w:rFonts w:ascii="Arial" w:cs="Arial" w:eastAsia="Arial" w:hAnsi="Arial"/>
                <w:b/>
                <w:bCs/>
                <w:color w:val="993C1D"/>
                <w:sz w:val="22"/>
                <w:szCs w:val="22"/>
              </w:rPr>
              <w:t xml:space="preserve">O2  </w:t>
            </w:r>
            <w:r>
              <w:rPr>
                <w:rFonts w:ascii="Arial" w:cs="Arial" w:eastAsia="Arial" w:hAnsi="Arial"/>
                <w:b/>
                <w:bCs/>
                <w:color w:val="0F2027"/>
                <w:sz w:val="22"/>
                <w:szCs w:val="22"/>
              </w:rPr>
              <w:t xml:space="preserve">Disease Diagnostic Agent</w:t>
            </w:r>
          </w:p>
        </w:tc>
      </w:tr>
      <w:tr>
        <w:tc>
          <w:tcPr>
            <w:tcW w:type="dxa" w:w="9360"/>
            <w:tcBorders>
              <w:top w:val="none"/>
              <w:left w:val="single" w:color="993C1D" w:sz="18"/>
              <w:bottom w:val="single" w:color="CBD5E1" w:sz="1"/>
              <w:right w:val="single" w:color="CBD5E1" w:sz="1"/>
            </w:tcBorders>
            <w:shd w:fill="FAECE7" w:val="clear"/>
            <w:tcMar>
              <w:top w:type="dxa" w:w="60"/>
              <w:left w:type="dxa" w:w="200"/>
              <w:bottom w:type="dxa" w:w="60"/>
              <w:right w:type="dxa" w:w="180"/>
            </w:tcMar>
          </w:tcPr>
          <w:p>
            <w:pPr>
              <w:spacing w:after="30" w:before="0"/>
            </w:pPr>
            <w:r>
              <w:rPr>
                <w:rFonts w:ascii="Arial" w:cs="Arial" w:eastAsia="Arial" w:hAnsi="Arial"/>
                <w:b/>
                <w:bCs/>
                <w:color w:val="993C1D"/>
                <w:sz w:val="19"/>
                <w:szCs w:val="19"/>
              </w:rPr>
              <w:t xml:space="preserve">Description</w:t>
            </w:r>
          </w:p>
          <w:p>
            <w:pPr>
              <w:spacing w:after="0" w:before="0"/>
              <w:jc w:val="both"/>
            </w:pPr>
            <w:r>
              <w:rPr>
                <w:rFonts w:ascii="Arial" w:cs="Arial" w:eastAsia="Arial" w:hAnsi="Arial"/>
                <w:color w:val="1E293B"/>
                <w:sz w:val="22"/>
                <w:szCs w:val="22"/>
              </w:rPr>
              <w:t xml:space="preserve">Fine-tune </w:t>
            </w:r>
            <w:r>
              <w:rPr>
                <w:rFonts w:ascii="Arial" w:cs="Arial" w:eastAsia="Arial" w:hAnsi="Arial"/>
                <w:b/>
                <w:bCs/>
                <w:color w:val="1E293B"/>
                <w:sz w:val="22"/>
                <w:szCs w:val="22"/>
              </w:rPr>
              <w:t xml:space="preserve">ViT-L/16</w:t>
            </w:r>
            <w:r>
              <w:rPr>
                <w:rFonts w:ascii="Arial" w:cs="Arial" w:eastAsia="Arial" w:hAnsi="Arial"/>
                <w:color w:val="1E293B"/>
                <w:sz w:val="22"/>
                <w:szCs w:val="22"/>
              </w:rPr>
              <w:t xml:space="preserve"> with LoRA adaptation (rank-16, alpha-32) on a composite dataset of 164,500 leaf and pest images across PlantVillage, PlantDoc, and IP102. Integrate AgriChain Chain-of-Thought prompting for structured reasoning from visual input to treatment protocol. Generate Grad-CAM saliency maps for every diagnosis.</w:t>
            </w:r>
          </w:p>
        </w:tc>
      </w:tr>
      <w:tr>
        <w:tc>
          <w:tcPr>
            <w:tcW w:type="dxa" w:w="9360"/>
            <w:tcBorders>
              <w:top w:val="none"/>
              <w:left w:val="single" w:color="993C1D" w:sz="18"/>
              <w:bottom w:val="single" w:color="CBD5E1" w:sz="1"/>
              <w:right w:val="single" w:color="CBD5E1" w:sz="1"/>
            </w:tcBorders>
            <w:shd w:fill="FAECE7" w:val="clear"/>
            <w:tcMar>
              <w:top w:type="dxa" w:w="60"/>
              <w:left w:type="dxa" w:w="200"/>
              <w:bottom w:type="dxa" w:w="60"/>
              <w:right w:type="dxa" w:w="180"/>
            </w:tcMar>
          </w:tcPr>
          <w:p>
            <w:pPr>
              <w:spacing w:after="30" w:before="0"/>
            </w:pPr>
            <w:r>
              <w:rPr>
                <w:rFonts w:ascii="Arial" w:cs="Arial" w:eastAsia="Arial" w:hAnsi="Arial"/>
                <w:b/>
                <w:bCs/>
                <w:color w:val="993C1D"/>
                <w:sz w:val="19"/>
                <w:szCs w:val="19"/>
              </w:rPr>
              <w:t xml:space="preserve">Gaps closed</w:t>
            </w:r>
          </w:p>
          <w:p>
            <w:pPr>
              <w:spacing w:after="0" w:before="0"/>
              <w:jc w:val="both"/>
            </w:pPr>
            <w:r>
              <w:rPr>
                <w:rFonts w:ascii="Arial" w:cs="Arial" w:eastAsia="Arial" w:hAnsi="Arial"/>
                <w:color w:val="1E293B"/>
                <w:sz w:val="22"/>
                <w:szCs w:val="22"/>
              </w:rPr>
              <w:t xml:space="preserve">G1 (image input modality) · G3 (Grad-CAM generated for rendering)</w:t>
            </w:r>
          </w:p>
        </w:tc>
      </w:tr>
      <w:tr>
        <w:tc>
          <w:tcPr>
            <w:tcW w:type="dxa" w:w="9360"/>
            <w:tcBorders>
              <w:top w:val="none"/>
              <w:left w:val="single" w:color="993C1D" w:sz="18"/>
              <w:bottom w:val="single" w:color="CBD5E1" w:sz="1"/>
              <w:right w:val="single" w:color="CBD5E1" w:sz="1"/>
            </w:tcBorders>
            <w:shd w:fill="FAECE7" w:val="clear"/>
            <w:tcMar>
              <w:top w:type="dxa" w:w="60"/>
              <w:left w:type="dxa" w:w="200"/>
              <w:bottom w:type="dxa" w:w="60"/>
              <w:right w:type="dxa" w:w="180"/>
            </w:tcMar>
          </w:tcPr>
          <w:p>
            <w:pPr>
              <w:spacing w:after="30" w:before="0"/>
            </w:pPr>
            <w:r>
              <w:rPr>
                <w:rFonts w:ascii="Arial" w:cs="Arial" w:eastAsia="Arial" w:hAnsi="Arial"/>
                <w:b/>
                <w:bCs/>
                <w:color w:val="993C1D"/>
                <w:sz w:val="19"/>
                <w:szCs w:val="19"/>
              </w:rPr>
              <w:t xml:space="preserve">Key technologies</w:t>
            </w:r>
          </w:p>
          <w:p>
            <w:pPr>
              <w:spacing w:after="0" w:before="0"/>
              <w:jc w:val="both"/>
            </w:pPr>
            <w:r>
              <w:rPr>
                <w:rFonts w:ascii="Arial" w:cs="Arial" w:eastAsia="Arial" w:hAnsi="Arial"/>
                <w:color w:val="1E293B"/>
                <w:sz w:val="22"/>
                <w:szCs w:val="22"/>
              </w:rPr>
              <w:t xml:space="preserve">ViT-L/16 (ImageNet-21k) · LoRA rank-16 · LLMI-CDP dialogue style · AgriChain CoT · PlantVillage (87k) + PlantDoc (2.5k) + IP102 (75k)</w:t>
            </w:r>
          </w:p>
        </w:tc>
      </w:tr>
      <w:tr>
        <w:tc>
          <w:tcPr>
            <w:tcW w:type="dxa" w:w="9360"/>
            <w:tcBorders>
              <w:top w:val="none"/>
              <w:left w:val="single" w:color="993C1D" w:sz="18"/>
              <w:bottom w:val="single" w:color="CBD5E1" w:sz="1"/>
              <w:right w:val="single" w:color="CBD5E1" w:sz="1"/>
            </w:tcBorders>
            <w:shd w:fill="FAECE7" w:val="clear"/>
            <w:tcMar>
              <w:top w:type="dxa" w:w="60"/>
              <w:left w:type="dxa" w:w="200"/>
              <w:bottom w:type="dxa" w:w="60"/>
              <w:right w:type="dxa" w:w="180"/>
            </w:tcMar>
          </w:tcPr>
          <w:p>
            <w:pPr>
              <w:spacing w:after="30" w:before="0"/>
            </w:pPr>
            <w:r>
              <w:rPr>
                <w:rFonts w:ascii="Arial" w:cs="Arial" w:eastAsia="Arial" w:hAnsi="Arial"/>
                <w:b/>
                <w:bCs/>
                <w:color w:val="993C1D"/>
                <w:sz w:val="19"/>
                <w:szCs w:val="19"/>
              </w:rPr>
              <w:t xml:space="preserve">Target metrics</w:t>
            </w:r>
          </w:p>
          <w:p>
            <w:pPr>
              <w:spacing w:after="0" w:before="0"/>
              <w:jc w:val="both"/>
            </w:pPr>
            <w:r>
              <w:rPr>
                <w:rFonts w:ascii="Arial" w:cs="Arial" w:eastAsia="Arial" w:hAnsi="Arial"/>
                <w:color w:val="1E293B"/>
                <w:sz w:val="22"/>
                <w:szCs w:val="22"/>
              </w:rPr>
              <w:t xml:space="preserve">Top-1 accuracy &gt; 90% · F1 macro &gt; 0.87 · Grad-CAM IoU vs. expert annotation &gt; 0.75 · Covers 200+ diseases across 50+ crops</w:t>
            </w:r>
          </w:p>
        </w:tc>
      </w:tr>
    </w:tbl>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854F0B" w:sz="18"/>
              <w:bottom w:val="single" w:color="CBD5E1" w:sz="1"/>
              <w:right w:val="single" w:color="CBD5E1" w:sz="1"/>
            </w:tcBorders>
            <w:shd w:fill="FAEEDA" w:val="clear"/>
            <w:tcMar>
              <w:top w:type="dxa" w:w="140"/>
              <w:left w:type="dxa" w:w="200"/>
              <w:bottom w:type="dxa" w:w="60"/>
              <w:right w:type="dxa" w:w="180"/>
            </w:tcMar>
          </w:tcPr>
          <w:p>
            <w:pPr>
              <w:spacing w:after="0" w:before="0"/>
            </w:pPr>
            <w:r>
              <w:rPr>
                <w:rFonts w:ascii="Arial" w:cs="Arial" w:eastAsia="Arial" w:hAnsi="Arial"/>
                <w:b/>
                <w:bCs/>
                <w:color w:val="854F0B"/>
                <w:sz w:val="22"/>
                <w:szCs w:val="22"/>
              </w:rPr>
              <w:t xml:space="preserve">O3  </w:t>
            </w:r>
            <w:r>
              <w:rPr>
                <w:rFonts w:ascii="Arial" w:cs="Arial" w:eastAsia="Arial" w:hAnsi="Arial"/>
                <w:b/>
                <w:bCs/>
                <w:color w:val="0F2027"/>
                <w:sz w:val="22"/>
                <w:szCs w:val="22"/>
              </w:rPr>
              <w:t xml:space="preserve">Nutrition Deficiency Agent with Cross-Modal Fusion</w:t>
            </w:r>
          </w:p>
        </w:tc>
      </w:tr>
      <w:tr>
        <w:tc>
          <w:tcPr>
            <w:tcW w:type="dxa" w:w="9360"/>
            <w:tcBorders>
              <w:top w:val="none"/>
              <w:left w:val="single" w:color="854F0B" w:sz="18"/>
              <w:bottom w:val="single" w:color="CBD5E1" w:sz="1"/>
              <w:right w:val="single" w:color="CBD5E1" w:sz="1"/>
            </w:tcBorders>
            <w:shd w:fill="FAEEDA" w:val="clear"/>
            <w:tcMar>
              <w:top w:type="dxa" w:w="60"/>
              <w:left w:type="dxa" w:w="200"/>
              <w:bottom w:type="dxa" w:w="60"/>
              <w:right w:type="dxa" w:w="180"/>
            </w:tcMar>
          </w:tcPr>
          <w:p>
            <w:pPr>
              <w:spacing w:after="30" w:before="0"/>
            </w:pPr>
            <w:r>
              <w:rPr>
                <w:rFonts w:ascii="Arial" w:cs="Arial" w:eastAsia="Arial" w:hAnsi="Arial"/>
                <w:b/>
                <w:bCs/>
                <w:color w:val="854F0B"/>
                <w:sz w:val="19"/>
                <w:szCs w:val="19"/>
              </w:rPr>
              <w:t xml:space="preserve">Description</w:t>
            </w:r>
          </w:p>
          <w:p>
            <w:pPr>
              <w:spacing w:after="0" w:before="0"/>
              <w:jc w:val="both"/>
            </w:pPr>
            <w:r>
              <w:rPr>
                <w:rFonts w:ascii="Arial" w:cs="Arial" w:eastAsia="Arial" w:hAnsi="Arial"/>
                <w:color w:val="1E293B"/>
                <w:sz w:val="22"/>
                <w:szCs w:val="22"/>
              </w:rPr>
              <w:t xml:space="preserve">Develop a </w:t>
            </w:r>
            <w:r>
              <w:rPr>
                <w:rFonts w:ascii="Arial" w:cs="Arial" w:eastAsia="Arial" w:hAnsi="Arial"/>
                <w:b/>
                <w:bCs/>
                <w:color w:val="1E293B"/>
                <w:sz w:val="22"/>
                <w:szCs w:val="22"/>
              </w:rPr>
              <w:t xml:space="preserve">cross-modal fusion network</w:t>
            </w:r>
            <w:r>
              <w:rPr>
                <w:rFonts w:ascii="Arial" w:cs="Arial" w:eastAsia="Arial" w:hAnsi="Arial"/>
                <w:color w:val="1E293B"/>
                <w:sz w:val="22"/>
                <w:szCs w:val="22"/>
              </w:rPr>
              <w:t xml:space="preserve"> that concatenates ResNet-50 leaf image feature vectors (2048-dim) with normalised real-time soil sensor readings (NPK, pH, EC, moisture — 6-dim) into a joint 2054-dimensional representation. Three fully-connected layers produce: (1) deficiency class label (N/P/K/Fe/Zn/B deficiency or healthy), and (2) fertiliser dose recommendation in kg/ha aligned with ICAR Soil Health Card norms.</w:t>
            </w:r>
          </w:p>
        </w:tc>
      </w:tr>
      <w:tr>
        <w:tc>
          <w:tcPr>
            <w:tcW w:type="dxa" w:w="9360"/>
            <w:tcBorders>
              <w:top w:val="none"/>
              <w:left w:val="single" w:color="854F0B" w:sz="18"/>
              <w:bottom w:val="single" w:color="CBD5E1" w:sz="1"/>
              <w:right w:val="single" w:color="CBD5E1" w:sz="1"/>
            </w:tcBorders>
            <w:shd w:fill="FAEEDA" w:val="clear"/>
            <w:tcMar>
              <w:top w:type="dxa" w:w="60"/>
              <w:left w:type="dxa" w:w="200"/>
              <w:bottom w:type="dxa" w:w="60"/>
              <w:right w:type="dxa" w:w="180"/>
            </w:tcMar>
          </w:tcPr>
          <w:p>
            <w:pPr>
              <w:spacing w:after="30" w:before="0"/>
            </w:pPr>
            <w:r>
              <w:rPr>
                <w:rFonts w:ascii="Arial" w:cs="Arial" w:eastAsia="Arial" w:hAnsi="Arial"/>
                <w:b/>
                <w:bCs/>
                <w:color w:val="854F0B"/>
                <w:sz w:val="19"/>
                <w:szCs w:val="19"/>
              </w:rPr>
              <w:t xml:space="preserve">Gaps closed</w:t>
            </w:r>
          </w:p>
          <w:p>
            <w:pPr>
              <w:spacing w:after="0" w:before="0"/>
              <w:jc w:val="both"/>
            </w:pPr>
            <w:r>
              <w:rPr>
                <w:rFonts w:ascii="Arial" w:cs="Arial" w:eastAsia="Arial" w:hAnsi="Arial"/>
                <w:color w:val="1E293B"/>
                <w:sz w:val="22"/>
                <w:szCs w:val="22"/>
              </w:rPr>
              <w:t xml:space="preserve">G2 — No cross-modal sensor + image nutrition fusion in a conversational loop</w:t>
            </w:r>
          </w:p>
        </w:tc>
      </w:tr>
      <w:tr>
        <w:tc>
          <w:tcPr>
            <w:tcW w:type="dxa" w:w="9360"/>
            <w:tcBorders>
              <w:top w:val="none"/>
              <w:left w:val="single" w:color="854F0B" w:sz="18"/>
              <w:bottom w:val="single" w:color="CBD5E1" w:sz="1"/>
              <w:right w:val="single" w:color="CBD5E1" w:sz="1"/>
            </w:tcBorders>
            <w:shd w:fill="FAEEDA" w:val="clear"/>
            <w:tcMar>
              <w:top w:type="dxa" w:w="60"/>
              <w:left w:type="dxa" w:w="200"/>
              <w:bottom w:type="dxa" w:w="60"/>
              <w:right w:type="dxa" w:w="180"/>
            </w:tcMar>
          </w:tcPr>
          <w:p>
            <w:pPr>
              <w:spacing w:after="30" w:before="0"/>
            </w:pPr>
            <w:r>
              <w:rPr>
                <w:rFonts w:ascii="Arial" w:cs="Arial" w:eastAsia="Arial" w:hAnsi="Arial"/>
                <w:b/>
                <w:bCs/>
                <w:color w:val="854F0B"/>
                <w:sz w:val="19"/>
                <w:szCs w:val="19"/>
              </w:rPr>
              <w:t xml:space="preserve">Key technologies</w:t>
            </w:r>
          </w:p>
          <w:p>
            <w:pPr>
              <w:spacing w:after="0" w:before="0"/>
              <w:jc w:val="both"/>
            </w:pPr>
            <w:r>
              <w:rPr>
                <w:rFonts w:ascii="Arial" w:cs="Arial" w:eastAsia="Arial" w:hAnsi="Arial"/>
                <w:color w:val="1E293B"/>
                <w:sz w:val="22"/>
                <w:szCs w:val="22"/>
              </w:rPr>
              <w:t xml:space="preserve">ResNet-50 encoder · 6-dim sensor vector (MQTT/REST) · Cross-modal MLP · ICAR Soil Health Card DB · SHAP feature importance</w:t>
            </w:r>
          </w:p>
        </w:tc>
      </w:tr>
      <w:tr>
        <w:tc>
          <w:tcPr>
            <w:tcW w:type="dxa" w:w="9360"/>
            <w:tcBorders>
              <w:top w:val="none"/>
              <w:left w:val="single" w:color="854F0B" w:sz="18"/>
              <w:bottom w:val="single" w:color="CBD5E1" w:sz="1"/>
              <w:right w:val="single" w:color="CBD5E1" w:sz="1"/>
            </w:tcBorders>
            <w:shd w:fill="FAEEDA" w:val="clear"/>
            <w:tcMar>
              <w:top w:type="dxa" w:w="60"/>
              <w:left w:type="dxa" w:w="200"/>
              <w:bottom w:type="dxa" w:w="60"/>
              <w:right w:type="dxa" w:w="180"/>
            </w:tcMar>
          </w:tcPr>
          <w:p>
            <w:pPr>
              <w:spacing w:after="30" w:before="0"/>
            </w:pPr>
            <w:r>
              <w:rPr>
                <w:rFonts w:ascii="Arial" w:cs="Arial" w:eastAsia="Arial" w:hAnsi="Arial"/>
                <w:b/>
                <w:bCs/>
                <w:color w:val="854F0B"/>
                <w:sz w:val="19"/>
                <w:szCs w:val="19"/>
              </w:rPr>
              <w:t xml:space="preserve">Target metrics</w:t>
            </w:r>
          </w:p>
          <w:p>
            <w:pPr>
              <w:spacing w:after="0" w:before="0"/>
              <w:jc w:val="both"/>
            </w:pPr>
            <w:r>
              <w:rPr>
                <w:rFonts w:ascii="Arial" w:cs="Arial" w:eastAsia="Arial" w:hAnsi="Arial"/>
                <w:color w:val="1E293B"/>
                <w:sz w:val="22"/>
                <w:szCs w:val="22"/>
              </w:rPr>
              <w:t xml:space="preserve">Deficiency class F1 &gt; 0.85 · Fertiliser dose RMSE &lt; 5 kg/ha · SHAP stability score &gt; 0.80 across repeated runs</w:t>
            </w:r>
          </w:p>
        </w:tc>
      </w:tr>
    </w:tbl>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F6E56" w:sz="18"/>
              <w:bottom w:val="single" w:color="CBD5E1" w:sz="1"/>
              <w:right w:val="single" w:color="CBD5E1" w:sz="1"/>
            </w:tcBorders>
            <w:shd w:fill="E1F5EE" w:val="clear"/>
            <w:tcMar>
              <w:top w:type="dxa" w:w="140"/>
              <w:left w:type="dxa" w:w="200"/>
              <w:bottom w:type="dxa" w:w="60"/>
              <w:right w:type="dxa" w:w="180"/>
            </w:tcMar>
          </w:tcPr>
          <w:p>
            <w:pPr>
              <w:spacing w:after="0" w:before="0"/>
            </w:pPr>
            <w:r>
              <w:rPr>
                <w:rFonts w:ascii="Arial" w:cs="Arial" w:eastAsia="Arial" w:hAnsi="Arial"/>
                <w:b/>
                <w:bCs/>
                <w:color w:val="0F6E56"/>
                <w:sz w:val="22"/>
                <w:szCs w:val="22"/>
              </w:rPr>
              <w:t xml:space="preserve">O4  </w:t>
            </w:r>
            <w:r>
              <w:rPr>
                <w:rFonts w:ascii="Arial" w:cs="Arial" w:eastAsia="Arial" w:hAnsi="Arial"/>
                <w:b/>
                <w:bCs/>
                <w:color w:val="0F2027"/>
                <w:sz w:val="22"/>
                <w:szCs w:val="22"/>
              </w:rPr>
              <w:t xml:space="preserve">Hallucination-Resistant RAG Knowledge Layer</w:t>
            </w:r>
          </w:p>
        </w:tc>
      </w:tr>
      <w:tr>
        <w:tc>
          <w:tcPr>
            <w:tcW w:type="dxa" w:w="9360"/>
            <w:tcBorders>
              <w:top w:val="none"/>
              <w:left w:val="single" w:color="0F6E56" w:sz="18"/>
              <w:bottom w:val="single" w:color="CBD5E1" w:sz="1"/>
              <w:right w:val="single" w:color="CBD5E1" w:sz="1"/>
            </w:tcBorders>
            <w:shd w:fill="E1F5EE" w:val="clear"/>
            <w:tcMar>
              <w:top w:type="dxa" w:w="60"/>
              <w:left w:type="dxa" w:w="200"/>
              <w:bottom w:type="dxa" w:w="60"/>
              <w:right w:type="dxa" w:w="180"/>
            </w:tcMar>
          </w:tcPr>
          <w:p>
            <w:pPr>
              <w:spacing w:after="30" w:before="0"/>
            </w:pPr>
            <w:r>
              <w:rPr>
                <w:rFonts w:ascii="Arial" w:cs="Arial" w:eastAsia="Arial" w:hAnsi="Arial"/>
                <w:b/>
                <w:bCs/>
                <w:color w:val="0F6E56"/>
                <w:sz w:val="19"/>
                <w:szCs w:val="19"/>
              </w:rPr>
              <w:t xml:space="preserve">Description</w:t>
            </w:r>
          </w:p>
          <w:p>
            <w:pPr>
              <w:spacing w:after="0" w:before="0"/>
              <w:jc w:val="both"/>
            </w:pPr>
            <w:r>
              <w:rPr>
                <w:rFonts w:ascii="Arial" w:cs="Arial" w:eastAsia="Arial" w:hAnsi="Arial"/>
                <w:color w:val="1E293B"/>
                <w:sz w:val="22"/>
                <w:szCs w:val="22"/>
              </w:rPr>
              <w:t xml:space="preserve">Build a </w:t>
            </w:r>
            <w:r>
              <w:rPr>
                <w:rFonts w:ascii="Arial" w:cs="Arial" w:eastAsia="Arial" w:hAnsi="Arial"/>
                <w:b/>
                <w:bCs/>
                <w:color w:val="1E293B"/>
                <w:sz w:val="22"/>
                <w:szCs w:val="22"/>
              </w:rPr>
              <w:t xml:space="preserve">250,000+ document chunk RAG pipeline</w:t>
            </w:r>
            <w:r>
              <w:rPr>
                <w:rFonts w:ascii="Arial" w:cs="Arial" w:eastAsia="Arial" w:hAnsi="Arial"/>
                <w:color w:val="1E293B"/>
                <w:sz w:val="22"/>
                <w:szCs w:val="22"/>
              </w:rPr>
              <w:t xml:space="preserve"> over verified ICAR Package of Practices (all major Indian crops), KCC call transcripts, CGIAR, FAO, Agmarknet historical data, and Soil Health Card norms. Implement hybrid BM25 + dense retrieval with E5-large-v2 embeddings, cross-encoder reranking, HyDE query expansion, and Qwen3-72B LLM-as-judge confidence gating. Escalate to KCC expert webhook if confidence score &lt; 0.70.</w:t>
            </w:r>
          </w:p>
        </w:tc>
      </w:tr>
      <w:tr>
        <w:tc>
          <w:tcPr>
            <w:tcW w:type="dxa" w:w="9360"/>
            <w:tcBorders>
              <w:top w:val="none"/>
              <w:left w:val="single" w:color="0F6E56" w:sz="18"/>
              <w:bottom w:val="single" w:color="CBD5E1" w:sz="1"/>
              <w:right w:val="single" w:color="CBD5E1" w:sz="1"/>
            </w:tcBorders>
            <w:shd w:fill="E1F5EE" w:val="clear"/>
            <w:tcMar>
              <w:top w:type="dxa" w:w="60"/>
              <w:left w:type="dxa" w:w="200"/>
              <w:bottom w:type="dxa" w:w="60"/>
              <w:right w:type="dxa" w:w="180"/>
            </w:tcMar>
          </w:tcPr>
          <w:p>
            <w:pPr>
              <w:spacing w:after="30" w:before="0"/>
            </w:pPr>
            <w:r>
              <w:rPr>
                <w:rFonts w:ascii="Arial" w:cs="Arial" w:eastAsia="Arial" w:hAnsi="Arial"/>
                <w:b/>
                <w:bCs/>
                <w:color w:val="0F6E56"/>
                <w:sz w:val="19"/>
                <w:szCs w:val="19"/>
              </w:rPr>
              <w:t xml:space="preserve">Gaps closed</w:t>
            </w:r>
          </w:p>
          <w:p>
            <w:pPr>
              <w:spacing w:after="0" w:before="0"/>
              <w:jc w:val="both"/>
            </w:pPr>
            <w:r>
              <w:rPr>
                <w:rFonts w:ascii="Arial" w:cs="Arial" w:eastAsia="Arial" w:hAnsi="Arial"/>
                <w:color w:val="1E293B"/>
                <w:sz w:val="22"/>
                <w:szCs w:val="22"/>
              </w:rPr>
              <w:t xml:space="preserve">G1 (knowledge grounding across all five domains)</w:t>
            </w:r>
          </w:p>
        </w:tc>
      </w:tr>
      <w:tr>
        <w:tc>
          <w:tcPr>
            <w:tcW w:type="dxa" w:w="9360"/>
            <w:tcBorders>
              <w:top w:val="none"/>
              <w:left w:val="single" w:color="0F6E56" w:sz="18"/>
              <w:bottom w:val="single" w:color="CBD5E1" w:sz="1"/>
              <w:right w:val="single" w:color="CBD5E1" w:sz="1"/>
            </w:tcBorders>
            <w:shd w:fill="E1F5EE" w:val="clear"/>
            <w:tcMar>
              <w:top w:type="dxa" w:w="60"/>
              <w:left w:type="dxa" w:w="200"/>
              <w:bottom w:type="dxa" w:w="60"/>
              <w:right w:type="dxa" w:w="180"/>
            </w:tcMar>
          </w:tcPr>
          <w:p>
            <w:pPr>
              <w:spacing w:after="30" w:before="0"/>
            </w:pPr>
            <w:r>
              <w:rPr>
                <w:rFonts w:ascii="Arial" w:cs="Arial" w:eastAsia="Arial" w:hAnsi="Arial"/>
                <w:b/>
                <w:bCs/>
                <w:color w:val="0F6E56"/>
                <w:sz w:val="19"/>
                <w:szCs w:val="19"/>
              </w:rPr>
              <w:t xml:space="preserve">Key technologies</w:t>
            </w:r>
          </w:p>
          <w:p>
            <w:pPr>
              <w:spacing w:after="0" w:before="0"/>
              <w:jc w:val="both"/>
            </w:pPr>
            <w:r>
              <w:rPr>
                <w:rFonts w:ascii="Arial" w:cs="Arial" w:eastAsia="Arial" w:hAnsi="Arial"/>
                <w:color w:val="1E293B"/>
                <w:sz w:val="22"/>
                <w:szCs w:val="22"/>
              </w:rPr>
              <w:t xml:space="preserve">Qdrant vector store · E5-large-v2 embeddings · ms-marco cross-encoder · HyDE + MMR · Qwen3-72B judge · Bilingual Hindi+English index</w:t>
            </w:r>
          </w:p>
        </w:tc>
      </w:tr>
      <w:tr>
        <w:tc>
          <w:tcPr>
            <w:tcW w:type="dxa" w:w="9360"/>
            <w:tcBorders>
              <w:top w:val="none"/>
              <w:left w:val="single" w:color="0F6E56" w:sz="18"/>
              <w:bottom w:val="single" w:color="CBD5E1" w:sz="1"/>
              <w:right w:val="single" w:color="CBD5E1" w:sz="1"/>
            </w:tcBorders>
            <w:shd w:fill="E1F5EE" w:val="clear"/>
            <w:tcMar>
              <w:top w:type="dxa" w:w="60"/>
              <w:left w:type="dxa" w:w="200"/>
              <w:bottom w:type="dxa" w:w="60"/>
              <w:right w:type="dxa" w:w="180"/>
            </w:tcMar>
          </w:tcPr>
          <w:p>
            <w:pPr>
              <w:spacing w:after="30" w:before="0"/>
            </w:pPr>
            <w:r>
              <w:rPr>
                <w:rFonts w:ascii="Arial" w:cs="Arial" w:eastAsia="Arial" w:hAnsi="Arial"/>
                <w:b/>
                <w:bCs/>
                <w:color w:val="0F6E56"/>
                <w:sz w:val="19"/>
                <w:szCs w:val="19"/>
              </w:rPr>
              <w:t xml:space="preserve">Target metrics</w:t>
            </w:r>
          </w:p>
          <w:p>
            <w:pPr>
              <w:spacing w:after="0" w:before="0"/>
              <w:jc w:val="both"/>
            </w:pPr>
            <w:r>
              <w:rPr>
                <w:rFonts w:ascii="Arial" w:cs="Arial" w:eastAsia="Arial" w:hAnsi="Arial"/>
                <w:color w:val="1E293B"/>
                <w:sz w:val="22"/>
                <w:szCs w:val="22"/>
              </w:rPr>
              <w:t xml:space="preserve">RAGAS faithfulness &gt; 0.88 · Context relevance &gt; 0.85 · Hallucination rate &lt; 5% · Expert escalation trigger accuracy &gt; 90%</w:t>
            </w:r>
          </w:p>
        </w:tc>
      </w:tr>
    </w:tbl>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3B6D11" w:sz="18"/>
              <w:bottom w:val="single" w:color="CBD5E1" w:sz="1"/>
              <w:right w:val="single" w:color="CBD5E1" w:sz="1"/>
            </w:tcBorders>
            <w:shd w:fill="EAF3DE" w:val="clear"/>
            <w:tcMar>
              <w:top w:type="dxa" w:w="140"/>
              <w:left w:type="dxa" w:w="200"/>
              <w:bottom w:type="dxa" w:w="60"/>
              <w:right w:type="dxa" w:w="180"/>
            </w:tcMar>
          </w:tcPr>
          <w:p>
            <w:pPr>
              <w:spacing w:after="0" w:before="0"/>
            </w:pPr>
            <w:r>
              <w:rPr>
                <w:rFonts w:ascii="Arial" w:cs="Arial" w:eastAsia="Arial" w:hAnsi="Arial"/>
                <w:b/>
                <w:bCs/>
                <w:color w:val="3B6D11"/>
                <w:sz w:val="22"/>
                <w:szCs w:val="22"/>
              </w:rPr>
              <w:t xml:space="preserve">O5  </w:t>
            </w:r>
            <w:r>
              <w:rPr>
                <w:rFonts w:ascii="Arial" w:cs="Arial" w:eastAsia="Arial" w:hAnsi="Arial"/>
                <w:b/>
                <w:bCs/>
                <w:color w:val="0F2027"/>
                <w:sz w:val="22"/>
                <w:szCs w:val="22"/>
              </w:rPr>
              <w:t xml:space="preserve">Farmer-Facing Explainable AI (XAI)</w:t>
            </w:r>
          </w:p>
        </w:tc>
      </w:tr>
      <w:tr>
        <w:tc>
          <w:tcPr>
            <w:tcW w:type="dxa" w:w="9360"/>
            <w:tcBorders>
              <w:top w:val="none"/>
              <w:left w:val="single" w:color="3B6D11" w:sz="18"/>
              <w:bottom w:val="single" w:color="CBD5E1" w:sz="1"/>
              <w:right w:val="single" w:color="CBD5E1" w:sz="1"/>
            </w:tcBorders>
            <w:shd w:fill="EAF3DE" w:val="clear"/>
            <w:tcMar>
              <w:top w:type="dxa" w:w="60"/>
              <w:left w:type="dxa" w:w="200"/>
              <w:bottom w:type="dxa" w:w="60"/>
              <w:right w:type="dxa" w:w="180"/>
            </w:tcMar>
          </w:tcPr>
          <w:p>
            <w:pPr>
              <w:spacing w:after="30" w:before="0"/>
            </w:pPr>
            <w:r>
              <w:rPr>
                <w:rFonts w:ascii="Arial" w:cs="Arial" w:eastAsia="Arial" w:hAnsi="Arial"/>
                <w:b/>
                <w:bCs/>
                <w:color w:val="3B6D11"/>
                <w:sz w:val="19"/>
                <w:szCs w:val="19"/>
              </w:rPr>
              <w:t xml:space="preserve">Description</w:t>
            </w:r>
          </w:p>
          <w:p>
            <w:pPr>
              <w:spacing w:after="0" w:before="0"/>
              <w:jc w:val="both"/>
            </w:pPr>
            <w:r>
              <w:rPr>
                <w:rFonts w:ascii="Arial" w:cs="Arial" w:eastAsia="Arial" w:hAnsi="Arial"/>
                <w:color w:val="1E293B"/>
                <w:sz w:val="22"/>
                <w:szCs w:val="22"/>
              </w:rPr>
              <w:t xml:space="preserve">Render </w:t>
            </w:r>
            <w:r>
              <w:rPr>
                <w:rFonts w:ascii="Arial" w:cs="Arial" w:eastAsia="Arial" w:hAnsi="Arial"/>
                <w:b/>
                <w:bCs/>
                <w:color w:val="1E293B"/>
                <w:sz w:val="22"/>
                <w:szCs w:val="22"/>
              </w:rPr>
              <w:t xml:space="preserve">Grad-CAM saliency heatmaps</w:t>
            </w:r>
            <w:r>
              <w:rPr>
                <w:rFonts w:ascii="Arial" w:cs="Arial" w:eastAsia="Arial" w:hAnsi="Arial"/>
                <w:color w:val="1E293B"/>
                <w:sz w:val="22"/>
                <w:szCs w:val="22"/>
              </w:rPr>
              <w:t xml:space="preserve"> as colour overlays on the farmer's uploaded leaf image and </w:t>
            </w:r>
            <w:r>
              <w:rPr>
                <w:rFonts w:ascii="Arial" w:cs="Arial" w:eastAsia="Arial" w:hAnsi="Arial"/>
                <w:b/>
                <w:bCs/>
                <w:color w:val="1E293B"/>
                <w:sz w:val="22"/>
                <w:szCs w:val="22"/>
              </w:rPr>
              <w:t xml:space="preserve">SHAP feature importance bar charts</w:t>
            </w:r>
            <w:r>
              <w:rPr>
                <w:rFonts w:ascii="Arial" w:cs="Arial" w:eastAsia="Arial" w:hAnsi="Arial"/>
                <w:color w:val="1E293B"/>
                <w:sz w:val="22"/>
                <w:szCs w:val="22"/>
              </w:rPr>
              <w:t xml:space="preserve"> for crop recommendations — directly within the React PWA advisory response as farmer-accessible UI components, with Hindi-labelled axes and simplified visual legends. This closes the gap between XAI as a research output and XAI as a farmer-facing trust mechanism.</w:t>
            </w:r>
          </w:p>
        </w:tc>
      </w:tr>
      <w:tr>
        <w:tc>
          <w:tcPr>
            <w:tcW w:type="dxa" w:w="9360"/>
            <w:tcBorders>
              <w:top w:val="none"/>
              <w:left w:val="single" w:color="3B6D11" w:sz="18"/>
              <w:bottom w:val="single" w:color="CBD5E1" w:sz="1"/>
              <w:right w:val="single" w:color="CBD5E1" w:sz="1"/>
            </w:tcBorders>
            <w:shd w:fill="EAF3DE" w:val="clear"/>
            <w:tcMar>
              <w:top w:type="dxa" w:w="60"/>
              <w:left w:type="dxa" w:w="200"/>
              <w:bottom w:type="dxa" w:w="60"/>
              <w:right w:type="dxa" w:w="180"/>
            </w:tcMar>
          </w:tcPr>
          <w:p>
            <w:pPr>
              <w:spacing w:after="30" w:before="0"/>
            </w:pPr>
            <w:r>
              <w:rPr>
                <w:rFonts w:ascii="Arial" w:cs="Arial" w:eastAsia="Arial" w:hAnsi="Arial"/>
                <w:b/>
                <w:bCs/>
                <w:color w:val="3B6D11"/>
                <w:sz w:val="19"/>
                <w:szCs w:val="19"/>
              </w:rPr>
              <w:t xml:space="preserve">Gaps closed</w:t>
            </w:r>
          </w:p>
          <w:p>
            <w:pPr>
              <w:spacing w:after="0" w:before="0"/>
              <w:jc w:val="both"/>
            </w:pPr>
            <w:r>
              <w:rPr>
                <w:rFonts w:ascii="Arial" w:cs="Arial" w:eastAsia="Arial" w:hAnsi="Arial"/>
                <w:color w:val="1E293B"/>
                <w:sz w:val="22"/>
                <w:szCs w:val="22"/>
              </w:rPr>
              <w:t xml:space="preserve">G3 — XAI never rendered to the farmer in any deployed system</w:t>
            </w:r>
          </w:p>
        </w:tc>
      </w:tr>
      <w:tr>
        <w:tc>
          <w:tcPr>
            <w:tcW w:type="dxa" w:w="9360"/>
            <w:tcBorders>
              <w:top w:val="none"/>
              <w:left w:val="single" w:color="3B6D11" w:sz="18"/>
              <w:bottom w:val="single" w:color="CBD5E1" w:sz="1"/>
              <w:right w:val="single" w:color="CBD5E1" w:sz="1"/>
            </w:tcBorders>
            <w:shd w:fill="EAF3DE" w:val="clear"/>
            <w:tcMar>
              <w:top w:type="dxa" w:w="60"/>
              <w:left w:type="dxa" w:w="200"/>
              <w:bottom w:type="dxa" w:w="60"/>
              <w:right w:type="dxa" w:w="180"/>
            </w:tcMar>
          </w:tcPr>
          <w:p>
            <w:pPr>
              <w:spacing w:after="30" w:before="0"/>
            </w:pPr>
            <w:r>
              <w:rPr>
                <w:rFonts w:ascii="Arial" w:cs="Arial" w:eastAsia="Arial" w:hAnsi="Arial"/>
                <w:b/>
                <w:bCs/>
                <w:color w:val="3B6D11"/>
                <w:sz w:val="19"/>
                <w:szCs w:val="19"/>
              </w:rPr>
              <w:t xml:space="preserve">Key technologies</w:t>
            </w:r>
          </w:p>
          <w:p>
            <w:pPr>
              <w:spacing w:after="0" w:before="0"/>
              <w:jc w:val="both"/>
            </w:pPr>
            <w:r>
              <w:rPr>
                <w:rFonts w:ascii="Arial" w:cs="Arial" w:eastAsia="Arial" w:hAnsi="Arial"/>
                <w:color w:val="1E293B"/>
                <w:sz w:val="22"/>
                <w:szCs w:val="22"/>
              </w:rPr>
              <w:t xml:space="preserve">Grad-CAM (layer4) · EigenCAM (validation) · SHAP TreeExplainer · Recharts (PWA bar charts) · Hindi axis labels via i18next</w:t>
            </w:r>
          </w:p>
        </w:tc>
      </w:tr>
      <w:tr>
        <w:tc>
          <w:tcPr>
            <w:tcW w:type="dxa" w:w="9360"/>
            <w:tcBorders>
              <w:top w:val="none"/>
              <w:left w:val="single" w:color="3B6D11" w:sz="18"/>
              <w:bottom w:val="single" w:color="CBD5E1" w:sz="1"/>
              <w:right w:val="single" w:color="CBD5E1" w:sz="1"/>
            </w:tcBorders>
            <w:shd w:fill="EAF3DE" w:val="clear"/>
            <w:tcMar>
              <w:top w:type="dxa" w:w="60"/>
              <w:left w:type="dxa" w:w="200"/>
              <w:bottom w:type="dxa" w:w="60"/>
              <w:right w:type="dxa" w:w="180"/>
            </w:tcMar>
          </w:tcPr>
          <w:p>
            <w:pPr>
              <w:spacing w:after="30" w:before="0"/>
            </w:pPr>
            <w:r>
              <w:rPr>
                <w:rFonts w:ascii="Arial" w:cs="Arial" w:eastAsia="Arial" w:hAnsi="Arial"/>
                <w:b/>
                <w:bCs/>
                <w:color w:val="3B6D11"/>
                <w:sz w:val="19"/>
                <w:szCs w:val="19"/>
              </w:rPr>
              <w:t xml:space="preserve">Target metrics</w:t>
            </w:r>
          </w:p>
          <w:p>
            <w:pPr>
              <w:spacing w:after="0" w:before="0"/>
              <w:jc w:val="both"/>
            </w:pPr>
            <w:r>
              <w:rPr>
                <w:rFonts w:ascii="Arial" w:cs="Arial" w:eastAsia="Arial" w:hAnsi="Arial"/>
                <w:color w:val="1E293B"/>
                <w:sz w:val="22"/>
                <w:szCs w:val="22"/>
              </w:rPr>
              <w:t xml:space="preserve">Grad-CAM IoU &gt; 0.75 vs. ICAR agronomist annotation · SHAP stability &gt; 0.80 · Farmer comprehension score &gt; 3.5/5.0 (Likert, n=30 pilot)</w:t>
            </w:r>
          </w:p>
        </w:tc>
      </w:tr>
    </w:tbl>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85FA5" w:sz="18"/>
              <w:bottom w:val="single" w:color="CBD5E1" w:sz="1"/>
              <w:right w:val="single" w:color="CBD5E1" w:sz="1"/>
            </w:tcBorders>
            <w:shd w:fill="E6F1FB" w:val="clear"/>
            <w:tcMar>
              <w:top w:type="dxa" w:w="140"/>
              <w:left w:type="dxa" w:w="200"/>
              <w:bottom w:type="dxa" w:w="60"/>
              <w:right w:type="dxa" w:w="180"/>
            </w:tcMar>
          </w:tcPr>
          <w:p>
            <w:pPr>
              <w:spacing w:after="0" w:before="0"/>
            </w:pPr>
            <w:r>
              <w:rPr>
                <w:rFonts w:ascii="Arial" w:cs="Arial" w:eastAsia="Arial" w:hAnsi="Arial"/>
                <w:b/>
                <w:bCs/>
                <w:color w:val="185FA5"/>
                <w:sz w:val="22"/>
                <w:szCs w:val="22"/>
              </w:rPr>
              <w:t xml:space="preserve">O6  </w:t>
            </w:r>
            <w:r>
              <w:rPr>
                <w:rFonts w:ascii="Arial" w:cs="Arial" w:eastAsia="Arial" w:hAnsi="Arial"/>
                <w:b/>
                <w:bCs/>
                <w:color w:val="0F2027"/>
                <w:sz w:val="22"/>
                <w:szCs w:val="22"/>
              </w:rPr>
              <w:t xml:space="preserve">End-to-End Indic Voice Advisory Pipeline</w:t>
            </w:r>
          </w:p>
        </w:tc>
      </w:tr>
      <w:tr>
        <w:tc>
          <w:tcPr>
            <w:tcW w:type="dxa" w:w="9360"/>
            <w:tcBorders>
              <w:top w:val="none"/>
              <w:left w:val="single" w:color="185FA5" w:sz="18"/>
              <w:bottom w:val="single" w:color="CBD5E1" w:sz="1"/>
              <w:right w:val="single" w:color="CBD5E1" w:sz="1"/>
            </w:tcBorders>
            <w:shd w:fill="E6F1FB" w:val="clear"/>
            <w:tcMar>
              <w:top w:type="dxa" w:w="60"/>
              <w:left w:type="dxa" w:w="200"/>
              <w:bottom w:type="dxa" w:w="60"/>
              <w:right w:type="dxa" w:w="180"/>
            </w:tcMar>
          </w:tcPr>
          <w:p>
            <w:pPr>
              <w:spacing w:after="30" w:before="0"/>
            </w:pPr>
            <w:r>
              <w:rPr>
                <w:rFonts w:ascii="Arial" w:cs="Arial" w:eastAsia="Arial" w:hAnsi="Arial"/>
                <w:b/>
                <w:bCs/>
                <w:color w:val="185FA5"/>
                <w:sz w:val="19"/>
                <w:szCs w:val="19"/>
              </w:rPr>
              <w:t xml:space="preserve">Description</w:t>
            </w:r>
          </w:p>
          <w:p>
            <w:pPr>
              <w:spacing w:after="0" w:before="0"/>
              <w:jc w:val="both"/>
            </w:pPr>
            <w:r>
              <w:rPr>
                <w:rFonts w:ascii="Arial" w:cs="Arial" w:eastAsia="Arial" w:hAnsi="Arial"/>
                <w:color w:val="1E293B"/>
                <w:sz w:val="22"/>
                <w:szCs w:val="22"/>
              </w:rPr>
              <w:t xml:space="preserve">Implement a complete voice advisory pipeline: </w:t>
            </w:r>
            <w:r>
              <w:rPr>
                <w:rFonts w:ascii="Arial" w:cs="Arial" w:eastAsia="Arial" w:hAnsi="Arial"/>
                <w:b/>
                <w:bCs/>
                <w:color w:val="1E293B"/>
                <w:sz w:val="22"/>
                <w:szCs w:val="22"/>
              </w:rPr>
              <w:t xml:space="preserve">Whisper large-v3</w:t>
            </w:r>
            <w:r>
              <w:rPr>
                <w:rFonts w:ascii="Arial" w:cs="Arial" w:eastAsia="Arial" w:hAnsi="Arial"/>
                <w:color w:val="1E293B"/>
                <w:sz w:val="22"/>
                <w:szCs w:val="22"/>
              </w:rPr>
              <w:t xml:space="preserve"> (fine-tuned on Indic agricultural speech from the 10,934-recording benchmark corpus) for ASR → multilingual RAG retrieval over Hindi+English bilingual knowledge index → </w:t>
            </w:r>
            <w:r>
              <w:rPr>
                <w:rFonts w:ascii="Arial" w:cs="Arial" w:eastAsia="Arial" w:hAnsi="Arial"/>
                <w:b/>
                <w:bCs/>
                <w:color w:val="1E293B"/>
                <w:sz w:val="22"/>
                <w:szCs w:val="22"/>
              </w:rPr>
              <w:t xml:space="preserve">Bhashini TTS</w:t>
            </w:r>
            <w:r>
              <w:rPr>
                <w:rFonts w:ascii="Arial" w:cs="Arial" w:eastAsia="Arial" w:hAnsi="Arial"/>
                <w:color w:val="1E293B"/>
                <w:sz w:val="22"/>
                <w:szCs w:val="22"/>
              </w:rPr>
              <w:t xml:space="preserve"> for spoken response delivery in 10 Indic languages. The pipeline must operate within a 4-second end-to-end latency budget on 3G connectivity.</w:t>
            </w:r>
          </w:p>
        </w:tc>
      </w:tr>
      <w:tr>
        <w:tc>
          <w:tcPr>
            <w:tcW w:type="dxa" w:w="9360"/>
            <w:tcBorders>
              <w:top w:val="none"/>
              <w:left w:val="single" w:color="185FA5" w:sz="18"/>
              <w:bottom w:val="single" w:color="CBD5E1" w:sz="1"/>
              <w:right w:val="single" w:color="CBD5E1" w:sz="1"/>
            </w:tcBorders>
            <w:shd w:fill="E6F1FB" w:val="clear"/>
            <w:tcMar>
              <w:top w:type="dxa" w:w="60"/>
              <w:left w:type="dxa" w:w="200"/>
              <w:bottom w:type="dxa" w:w="60"/>
              <w:right w:type="dxa" w:w="180"/>
            </w:tcMar>
          </w:tcPr>
          <w:p>
            <w:pPr>
              <w:spacing w:after="30" w:before="0"/>
            </w:pPr>
            <w:r>
              <w:rPr>
                <w:rFonts w:ascii="Arial" w:cs="Arial" w:eastAsia="Arial" w:hAnsi="Arial"/>
                <w:b/>
                <w:bCs/>
                <w:color w:val="185FA5"/>
                <w:sz w:val="19"/>
                <w:szCs w:val="19"/>
              </w:rPr>
              <w:t xml:space="preserve">Gaps closed</w:t>
            </w:r>
          </w:p>
          <w:p>
            <w:pPr>
              <w:spacing w:after="0" w:before="0"/>
              <w:jc w:val="both"/>
            </w:pPr>
            <w:r>
              <w:rPr>
                <w:rFonts w:ascii="Arial" w:cs="Arial" w:eastAsia="Arial" w:hAnsi="Arial"/>
                <w:color w:val="1E293B"/>
                <w:sz w:val="22"/>
                <w:szCs w:val="22"/>
              </w:rPr>
              <w:t xml:space="preserve">G4 — No end-to-end Indic voice-to-advisory pipeline exists in any agricultural system</w:t>
            </w:r>
          </w:p>
        </w:tc>
      </w:tr>
      <w:tr>
        <w:tc>
          <w:tcPr>
            <w:tcW w:type="dxa" w:w="9360"/>
            <w:tcBorders>
              <w:top w:val="none"/>
              <w:left w:val="single" w:color="185FA5" w:sz="18"/>
              <w:bottom w:val="single" w:color="CBD5E1" w:sz="1"/>
              <w:right w:val="single" w:color="CBD5E1" w:sz="1"/>
            </w:tcBorders>
            <w:shd w:fill="E6F1FB" w:val="clear"/>
            <w:tcMar>
              <w:top w:type="dxa" w:w="60"/>
              <w:left w:type="dxa" w:w="200"/>
              <w:bottom w:type="dxa" w:w="60"/>
              <w:right w:type="dxa" w:w="180"/>
            </w:tcMar>
          </w:tcPr>
          <w:p>
            <w:pPr>
              <w:spacing w:after="30" w:before="0"/>
            </w:pPr>
            <w:r>
              <w:rPr>
                <w:rFonts w:ascii="Arial" w:cs="Arial" w:eastAsia="Arial" w:hAnsi="Arial"/>
                <w:b/>
                <w:bCs/>
                <w:color w:val="185FA5"/>
                <w:sz w:val="19"/>
                <w:szCs w:val="19"/>
              </w:rPr>
              <w:t xml:space="preserve">Key technologies</w:t>
            </w:r>
          </w:p>
          <w:p>
            <w:pPr>
              <w:spacing w:after="0" w:before="0"/>
              <w:jc w:val="both"/>
            </w:pPr>
            <w:r>
              <w:rPr>
                <w:rFonts w:ascii="Arial" w:cs="Arial" w:eastAsia="Arial" w:hAnsi="Arial"/>
                <w:color w:val="1E293B"/>
                <w:sz w:val="22"/>
                <w:szCs w:val="22"/>
              </w:rPr>
              <w:t xml:space="preserve">Whisper large-v3 (Indic fine-tuned) · Bhashini ASR + TTS API · IndicBERT NER · MediaRecorder (PWA browser) · 16 kHz mono WAV preprocessing</w:t>
            </w:r>
          </w:p>
        </w:tc>
      </w:tr>
      <w:tr>
        <w:tc>
          <w:tcPr>
            <w:tcW w:type="dxa" w:w="9360"/>
            <w:tcBorders>
              <w:top w:val="none"/>
              <w:left w:val="single" w:color="185FA5" w:sz="18"/>
              <w:bottom w:val="single" w:color="CBD5E1" w:sz="1"/>
              <w:right w:val="single" w:color="CBD5E1" w:sz="1"/>
            </w:tcBorders>
            <w:shd w:fill="E6F1FB" w:val="clear"/>
            <w:tcMar>
              <w:top w:type="dxa" w:w="60"/>
              <w:left w:type="dxa" w:w="200"/>
              <w:bottom w:type="dxa" w:w="60"/>
              <w:right w:type="dxa" w:w="180"/>
            </w:tcMar>
          </w:tcPr>
          <w:p>
            <w:pPr>
              <w:spacing w:after="30" w:before="0"/>
            </w:pPr>
            <w:r>
              <w:rPr>
                <w:rFonts w:ascii="Arial" w:cs="Arial" w:eastAsia="Arial" w:hAnsi="Arial"/>
                <w:b/>
                <w:bCs/>
                <w:color w:val="185FA5"/>
                <w:sz w:val="19"/>
                <w:szCs w:val="19"/>
              </w:rPr>
              <w:t xml:space="preserve">Target metrics</w:t>
            </w:r>
          </w:p>
          <w:p>
            <w:pPr>
              <w:spacing w:after="0" w:before="0"/>
              <w:jc w:val="both"/>
            </w:pPr>
            <w:r>
              <w:rPr>
                <w:rFonts w:ascii="Arial" w:cs="Arial" w:eastAsia="Arial" w:hAnsi="Arial"/>
                <w:color w:val="1E293B"/>
                <w:sz w:val="22"/>
                <w:szCs w:val="22"/>
              </w:rPr>
              <w:t xml:space="preserve">WER &lt; 20% for Hindi agricultural speech · WER &lt; 30% for five regional languages (Tamil, Telugu, Marathi, Kannada, Odia) · End-to-end latency &lt; 4 s</w:t>
            </w:r>
          </w:p>
        </w:tc>
      </w:tr>
    </w:tbl>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534AB7" w:sz="18"/>
              <w:bottom w:val="single" w:color="CBD5E1" w:sz="1"/>
              <w:right w:val="single" w:color="CBD5E1" w:sz="1"/>
            </w:tcBorders>
            <w:shd w:fill="EEEDFE" w:val="clear"/>
            <w:tcMar>
              <w:top w:type="dxa" w:w="140"/>
              <w:left w:type="dxa" w:w="200"/>
              <w:bottom w:type="dxa" w:w="60"/>
              <w:right w:type="dxa" w:w="180"/>
            </w:tcMar>
          </w:tcPr>
          <w:p>
            <w:pPr>
              <w:spacing w:after="0" w:before="0"/>
            </w:pPr>
            <w:r>
              <w:rPr>
                <w:rFonts w:ascii="Arial" w:cs="Arial" w:eastAsia="Arial" w:hAnsi="Arial"/>
                <w:b/>
                <w:bCs/>
                <w:color w:val="534AB7"/>
                <w:sz w:val="22"/>
                <w:szCs w:val="22"/>
              </w:rPr>
              <w:t xml:space="preserve">O7  </w:t>
            </w:r>
            <w:r>
              <w:rPr>
                <w:rFonts w:ascii="Arial" w:cs="Arial" w:eastAsia="Arial" w:hAnsi="Arial"/>
                <w:b/>
                <w:bCs/>
                <w:color w:val="0F2027"/>
                <w:sz w:val="22"/>
                <w:szCs w:val="22"/>
              </w:rPr>
              <w:t xml:space="preserve">Live Market Price Advisory Agent</w:t>
            </w:r>
          </w:p>
        </w:tc>
      </w:tr>
      <w:tr>
        <w:tc>
          <w:tcPr>
            <w:tcW w:type="dxa" w:w="9360"/>
            <w:tcBorders>
              <w:top w:val="none"/>
              <w:left w:val="single" w:color="534AB7" w:sz="18"/>
              <w:bottom w:val="single" w:color="CBD5E1" w:sz="1"/>
              <w:right w:val="single" w:color="CBD5E1" w:sz="1"/>
            </w:tcBorders>
            <w:shd w:fill="EEEDFE" w:val="clear"/>
            <w:tcMar>
              <w:top w:type="dxa" w:w="60"/>
              <w:left w:type="dxa" w:w="200"/>
              <w:bottom w:type="dxa" w:w="60"/>
              <w:right w:type="dxa" w:w="180"/>
            </w:tcMar>
          </w:tcPr>
          <w:p>
            <w:pPr>
              <w:spacing w:after="30" w:before="0"/>
            </w:pPr>
            <w:r>
              <w:rPr>
                <w:rFonts w:ascii="Arial" w:cs="Arial" w:eastAsia="Arial" w:hAnsi="Arial"/>
                <w:b/>
                <w:bCs/>
                <w:color w:val="534AB7"/>
                <w:sz w:val="19"/>
                <w:szCs w:val="19"/>
              </w:rPr>
              <w:t xml:space="preserve">Description</w:t>
            </w:r>
          </w:p>
          <w:p>
            <w:pPr>
              <w:spacing w:after="0" w:before="0"/>
              <w:jc w:val="both"/>
            </w:pPr>
            <w:r>
              <w:rPr>
                <w:rFonts w:ascii="Arial" w:cs="Arial" w:eastAsia="Arial" w:hAnsi="Arial"/>
                <w:color w:val="1E293B"/>
                <w:sz w:val="22"/>
                <w:szCs w:val="22"/>
              </w:rPr>
              <w:t xml:space="preserve">Integrate </w:t>
            </w:r>
            <w:r>
              <w:rPr>
                <w:rFonts w:ascii="Arial" w:cs="Arial" w:eastAsia="Arial" w:hAnsi="Arial"/>
                <w:b/>
                <w:bCs/>
                <w:color w:val="1E293B"/>
                <w:sz w:val="22"/>
                <w:szCs w:val="22"/>
              </w:rPr>
              <w:t xml:space="preserve">Agmarknet and eNAM live mandi price feeds</w:t>
            </w:r>
            <w:r>
              <w:rPr>
                <w:rFonts w:ascii="Arial" w:cs="Arial" w:eastAsia="Arial" w:hAnsi="Arial"/>
                <w:color w:val="1E293B"/>
                <w:sz w:val="22"/>
                <w:szCs w:val="22"/>
              </w:rPr>
              <w:t xml:space="preserve"> (15-minute refresh, Redis cache) with a Prophet-based 7-day price forecast model. Rank nearby mandis by Haversine distance and price differential. Co-deliver sell, hold, or transport-to-mandi advisory within the same conversational session as agronomic advice — enabling compound queries such as 'my crop has blight; should I treat or sell now?'</w:t>
            </w:r>
          </w:p>
        </w:tc>
      </w:tr>
      <w:tr>
        <w:tc>
          <w:tcPr>
            <w:tcW w:type="dxa" w:w="9360"/>
            <w:tcBorders>
              <w:top w:val="none"/>
              <w:left w:val="single" w:color="534AB7" w:sz="18"/>
              <w:bottom w:val="single" w:color="CBD5E1" w:sz="1"/>
              <w:right w:val="single" w:color="CBD5E1" w:sz="1"/>
            </w:tcBorders>
            <w:shd w:fill="EEEDFE" w:val="clear"/>
            <w:tcMar>
              <w:top w:type="dxa" w:w="60"/>
              <w:left w:type="dxa" w:w="200"/>
              <w:bottom w:type="dxa" w:w="60"/>
              <w:right w:type="dxa" w:w="180"/>
            </w:tcMar>
          </w:tcPr>
          <w:p>
            <w:pPr>
              <w:spacing w:after="30" w:before="0"/>
            </w:pPr>
            <w:r>
              <w:rPr>
                <w:rFonts w:ascii="Arial" w:cs="Arial" w:eastAsia="Arial" w:hAnsi="Arial"/>
                <w:b/>
                <w:bCs/>
                <w:color w:val="534AB7"/>
                <w:sz w:val="19"/>
                <w:szCs w:val="19"/>
              </w:rPr>
              <w:t xml:space="preserve">Gaps closed</w:t>
            </w:r>
          </w:p>
          <w:p>
            <w:pPr>
              <w:spacing w:after="0" w:before="0"/>
              <w:jc w:val="both"/>
            </w:pPr>
            <w:r>
              <w:rPr>
                <w:rFonts w:ascii="Arial" w:cs="Arial" w:eastAsia="Arial" w:hAnsi="Arial"/>
                <w:color w:val="1E293B"/>
                <w:sz w:val="22"/>
                <w:szCs w:val="22"/>
              </w:rPr>
              <w:t xml:space="preserve">G5 — Live market price never co-delivered with agronomic advice in any prior system</w:t>
            </w:r>
          </w:p>
        </w:tc>
      </w:tr>
      <w:tr>
        <w:tc>
          <w:tcPr>
            <w:tcW w:type="dxa" w:w="9360"/>
            <w:tcBorders>
              <w:top w:val="none"/>
              <w:left w:val="single" w:color="534AB7" w:sz="18"/>
              <w:bottom w:val="single" w:color="CBD5E1" w:sz="1"/>
              <w:right w:val="single" w:color="CBD5E1" w:sz="1"/>
            </w:tcBorders>
            <w:shd w:fill="EEEDFE" w:val="clear"/>
            <w:tcMar>
              <w:top w:type="dxa" w:w="60"/>
              <w:left w:type="dxa" w:w="200"/>
              <w:bottom w:type="dxa" w:w="60"/>
              <w:right w:type="dxa" w:w="180"/>
            </w:tcMar>
          </w:tcPr>
          <w:p>
            <w:pPr>
              <w:spacing w:after="30" w:before="0"/>
            </w:pPr>
            <w:r>
              <w:rPr>
                <w:rFonts w:ascii="Arial" w:cs="Arial" w:eastAsia="Arial" w:hAnsi="Arial"/>
                <w:b/>
                <w:bCs/>
                <w:color w:val="534AB7"/>
                <w:sz w:val="19"/>
                <w:szCs w:val="19"/>
              </w:rPr>
              <w:t xml:space="preserve">Key technologies</w:t>
            </w:r>
          </w:p>
          <w:p>
            <w:pPr>
              <w:spacing w:after="0" w:before="0"/>
              <w:jc w:val="both"/>
            </w:pPr>
            <w:r>
              <w:rPr>
                <w:rFonts w:ascii="Arial" w:cs="Arial" w:eastAsia="Arial" w:hAnsi="Arial"/>
                <w:color w:val="1E293B"/>
                <w:sz w:val="22"/>
                <w:szCs w:val="22"/>
              </w:rPr>
              <w:t xml:space="preserve">Agmarknet API · eNAM data feed · Prophet time-series forecast · CACP MSP dataset 2024–25 · Haversine mandi ranking · Redis 15-min TTL cache</w:t>
            </w:r>
          </w:p>
        </w:tc>
      </w:tr>
      <w:tr>
        <w:tc>
          <w:tcPr>
            <w:tcW w:type="dxa" w:w="9360"/>
            <w:tcBorders>
              <w:top w:val="none"/>
              <w:left w:val="single" w:color="534AB7" w:sz="18"/>
              <w:bottom w:val="single" w:color="CBD5E1" w:sz="1"/>
              <w:right w:val="single" w:color="CBD5E1" w:sz="1"/>
            </w:tcBorders>
            <w:shd w:fill="EEEDFE" w:val="clear"/>
            <w:tcMar>
              <w:top w:type="dxa" w:w="60"/>
              <w:left w:type="dxa" w:w="200"/>
              <w:bottom w:type="dxa" w:w="60"/>
              <w:right w:type="dxa" w:w="180"/>
            </w:tcMar>
          </w:tcPr>
          <w:p>
            <w:pPr>
              <w:spacing w:after="30" w:before="0"/>
            </w:pPr>
            <w:r>
              <w:rPr>
                <w:rFonts w:ascii="Arial" w:cs="Arial" w:eastAsia="Arial" w:hAnsi="Arial"/>
                <w:b/>
                <w:bCs/>
                <w:color w:val="534AB7"/>
                <w:sz w:val="19"/>
                <w:szCs w:val="19"/>
              </w:rPr>
              <w:t xml:space="preserve">Target metrics</w:t>
            </w:r>
          </w:p>
          <w:p>
            <w:pPr>
              <w:spacing w:after="0" w:before="0"/>
              <w:jc w:val="both"/>
            </w:pPr>
            <w:r>
              <w:rPr>
                <w:rFonts w:ascii="Arial" w:cs="Arial" w:eastAsia="Arial" w:hAnsi="Arial"/>
                <w:color w:val="1E293B"/>
                <w:sz w:val="22"/>
                <w:szCs w:val="22"/>
              </w:rPr>
              <w:t xml:space="preserve">7-day price forecast MAPE &lt; 8% · Mandi ranking accuracy &gt; 85% vs. actual best-price mandi · Sell/hold advisory agronomist agreement &gt; 75%</w:t>
            </w:r>
          </w:p>
        </w:tc>
      </w:tr>
    </w:tbl>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F6E56" w:sz="18"/>
              <w:bottom w:val="single" w:color="CBD5E1" w:sz="1"/>
              <w:right w:val="single" w:color="CBD5E1" w:sz="1"/>
            </w:tcBorders>
            <w:shd w:fill="E1F5EE" w:val="clear"/>
            <w:tcMar>
              <w:top w:type="dxa" w:w="140"/>
              <w:left w:type="dxa" w:w="200"/>
              <w:bottom w:type="dxa" w:w="60"/>
              <w:right w:type="dxa" w:w="180"/>
            </w:tcMar>
          </w:tcPr>
          <w:p>
            <w:pPr>
              <w:spacing w:after="0" w:before="0"/>
            </w:pPr>
            <w:r>
              <w:rPr>
                <w:rFonts w:ascii="Arial" w:cs="Arial" w:eastAsia="Arial" w:hAnsi="Arial"/>
                <w:b/>
                <w:bCs/>
                <w:color w:val="0F6E56"/>
                <w:sz w:val="22"/>
                <w:szCs w:val="22"/>
              </w:rPr>
              <w:t xml:space="preserve">O8  </w:t>
            </w:r>
            <w:r>
              <w:rPr>
                <w:rFonts w:ascii="Arial" w:cs="Arial" w:eastAsia="Arial" w:hAnsi="Arial"/>
                <w:b/>
                <w:bCs/>
                <w:color w:val="0F2027"/>
                <w:sz w:val="22"/>
                <w:szCs w:val="22"/>
              </w:rPr>
              <w:t xml:space="preserve">System Evaluation and Expert Validation</w:t>
            </w:r>
          </w:p>
        </w:tc>
      </w:tr>
      <w:tr>
        <w:tc>
          <w:tcPr>
            <w:tcW w:type="dxa" w:w="9360"/>
            <w:tcBorders>
              <w:top w:val="none"/>
              <w:left w:val="single" w:color="0F6E56" w:sz="18"/>
              <w:bottom w:val="single" w:color="CBD5E1" w:sz="1"/>
              <w:right w:val="single" w:color="CBD5E1" w:sz="1"/>
            </w:tcBorders>
            <w:shd w:fill="E1F5EE" w:val="clear"/>
            <w:tcMar>
              <w:top w:type="dxa" w:w="60"/>
              <w:left w:type="dxa" w:w="200"/>
              <w:bottom w:type="dxa" w:w="60"/>
              <w:right w:type="dxa" w:w="180"/>
            </w:tcMar>
          </w:tcPr>
          <w:p>
            <w:pPr>
              <w:spacing w:after="30" w:before="0"/>
            </w:pPr>
            <w:r>
              <w:rPr>
                <w:rFonts w:ascii="Arial" w:cs="Arial" w:eastAsia="Arial" w:hAnsi="Arial"/>
                <w:b/>
                <w:bCs/>
                <w:color w:val="0F6E56"/>
                <w:sz w:val="19"/>
                <w:szCs w:val="19"/>
              </w:rPr>
              <w:t xml:space="preserve">Description</w:t>
            </w:r>
          </w:p>
          <w:p>
            <w:pPr>
              <w:spacing w:after="0" w:before="0"/>
              <w:jc w:val="both"/>
            </w:pPr>
            <w:r>
              <w:rPr>
                <w:rFonts w:ascii="Arial" w:cs="Arial" w:eastAsia="Arial" w:hAnsi="Arial"/>
                <w:color w:val="1E293B"/>
                <w:sz w:val="22"/>
                <w:szCs w:val="22"/>
              </w:rPr>
              <w:t xml:space="preserve">Benchmark the complete integrated system on </w:t>
            </w:r>
            <w:r>
              <w:rPr>
                <w:rFonts w:ascii="Arial" w:cs="Arial" w:eastAsia="Arial" w:hAnsi="Arial"/>
                <w:b/>
                <w:bCs/>
                <w:color w:val="1E293B"/>
                <w:sz w:val="22"/>
                <w:szCs w:val="22"/>
              </w:rPr>
              <w:t xml:space="preserve">MIRAGE</w:t>
            </w:r>
            <w:r>
              <w:rPr>
                <w:rFonts w:ascii="Arial" w:cs="Arial" w:eastAsia="Arial" w:hAnsi="Arial"/>
                <w:color w:val="1E293B"/>
                <w:sz w:val="22"/>
                <w:szCs w:val="22"/>
              </w:rPr>
              <w:t xml:space="preserve"> (multi-turn agricultural dialogue benchmark) and </w:t>
            </w:r>
            <w:r>
              <w:rPr>
                <w:rFonts w:ascii="Arial" w:cs="Arial" w:eastAsia="Arial" w:hAnsi="Arial"/>
                <w:b/>
                <w:bCs/>
                <w:color w:val="1E293B"/>
                <w:sz w:val="22"/>
                <w:szCs w:val="22"/>
              </w:rPr>
              <w:t xml:space="preserve">AgMMU</w:t>
            </w:r>
            <w:r>
              <w:rPr>
                <w:rFonts w:ascii="Arial" w:cs="Arial" w:eastAsia="Arial" w:hAnsi="Arial"/>
                <w:color w:val="1E293B"/>
                <w:sz w:val="22"/>
                <w:szCs w:val="22"/>
              </w:rPr>
              <w:t xml:space="preserve"> (agricultural multimodal understanding benchmark). Validate advisory quality via a blind evaluation panel of ten ICAR-certified agronomists rating 200 real farmer queries across five crop categories on a 5-point Likert scale for correctness, clarity, safety, and actionability.</w:t>
            </w:r>
          </w:p>
        </w:tc>
      </w:tr>
      <w:tr>
        <w:tc>
          <w:tcPr>
            <w:tcW w:type="dxa" w:w="9360"/>
            <w:tcBorders>
              <w:top w:val="none"/>
              <w:left w:val="single" w:color="0F6E56" w:sz="18"/>
              <w:bottom w:val="single" w:color="CBD5E1" w:sz="1"/>
              <w:right w:val="single" w:color="CBD5E1" w:sz="1"/>
            </w:tcBorders>
            <w:shd w:fill="E1F5EE" w:val="clear"/>
            <w:tcMar>
              <w:top w:type="dxa" w:w="60"/>
              <w:left w:type="dxa" w:w="200"/>
              <w:bottom w:type="dxa" w:w="60"/>
              <w:right w:type="dxa" w:w="180"/>
            </w:tcMar>
          </w:tcPr>
          <w:p>
            <w:pPr>
              <w:spacing w:after="30" w:before="0"/>
            </w:pPr>
            <w:r>
              <w:rPr>
                <w:rFonts w:ascii="Arial" w:cs="Arial" w:eastAsia="Arial" w:hAnsi="Arial"/>
                <w:b/>
                <w:bCs/>
                <w:color w:val="0F6E56"/>
                <w:sz w:val="19"/>
                <w:szCs w:val="19"/>
              </w:rPr>
              <w:t xml:space="preserve">Gaps closed</w:t>
            </w:r>
          </w:p>
          <w:p>
            <w:pPr>
              <w:spacing w:after="0" w:before="0"/>
              <w:jc w:val="both"/>
            </w:pPr>
            <w:r>
              <w:rPr>
                <w:rFonts w:ascii="Arial" w:cs="Arial" w:eastAsia="Arial" w:hAnsi="Arial"/>
                <w:color w:val="1E293B"/>
                <w:sz w:val="22"/>
                <w:szCs w:val="22"/>
              </w:rPr>
              <w:t xml:space="preserve">Validates that all five gaps are closed — quantitative evidence for each claim</w:t>
            </w:r>
          </w:p>
        </w:tc>
      </w:tr>
      <w:tr>
        <w:tc>
          <w:tcPr>
            <w:tcW w:type="dxa" w:w="9360"/>
            <w:tcBorders>
              <w:top w:val="none"/>
              <w:left w:val="single" w:color="0F6E56" w:sz="18"/>
              <w:bottom w:val="single" w:color="CBD5E1" w:sz="1"/>
              <w:right w:val="single" w:color="CBD5E1" w:sz="1"/>
            </w:tcBorders>
            <w:shd w:fill="E1F5EE" w:val="clear"/>
            <w:tcMar>
              <w:top w:type="dxa" w:w="60"/>
              <w:left w:type="dxa" w:w="200"/>
              <w:bottom w:type="dxa" w:w="60"/>
              <w:right w:type="dxa" w:w="180"/>
            </w:tcMar>
          </w:tcPr>
          <w:p>
            <w:pPr>
              <w:spacing w:after="30" w:before="0"/>
            </w:pPr>
            <w:r>
              <w:rPr>
                <w:rFonts w:ascii="Arial" w:cs="Arial" w:eastAsia="Arial" w:hAnsi="Arial"/>
                <w:b/>
                <w:bCs/>
                <w:color w:val="0F6E56"/>
                <w:sz w:val="19"/>
                <w:szCs w:val="19"/>
              </w:rPr>
              <w:t xml:space="preserve">Key technologies</w:t>
            </w:r>
          </w:p>
          <w:p>
            <w:pPr>
              <w:spacing w:after="0" w:before="0"/>
              <w:jc w:val="both"/>
            </w:pPr>
            <w:r>
              <w:rPr>
                <w:rFonts w:ascii="Arial" w:cs="Arial" w:eastAsia="Arial" w:hAnsi="Arial"/>
                <w:color w:val="1E293B"/>
                <w:sz w:val="22"/>
                <w:szCs w:val="22"/>
              </w:rPr>
              <w:t xml:space="preserve">MIRAGE benchmark · AgMMU benchmark · RAGAS eval suite · ICAR agronomist panel (n=10) · Langfuse tracing · Ablation study framework</w:t>
            </w:r>
          </w:p>
        </w:tc>
      </w:tr>
      <w:tr>
        <w:tc>
          <w:tcPr>
            <w:tcW w:type="dxa" w:w="9360"/>
            <w:tcBorders>
              <w:top w:val="none"/>
              <w:left w:val="single" w:color="0F6E56" w:sz="18"/>
              <w:bottom w:val="single" w:color="CBD5E1" w:sz="1"/>
              <w:right w:val="single" w:color="CBD5E1" w:sz="1"/>
            </w:tcBorders>
            <w:shd w:fill="E1F5EE" w:val="clear"/>
            <w:tcMar>
              <w:top w:type="dxa" w:w="60"/>
              <w:left w:type="dxa" w:w="200"/>
              <w:bottom w:type="dxa" w:w="60"/>
              <w:right w:type="dxa" w:w="180"/>
            </w:tcMar>
          </w:tcPr>
          <w:p>
            <w:pPr>
              <w:spacing w:after="30" w:before="0"/>
            </w:pPr>
            <w:r>
              <w:rPr>
                <w:rFonts w:ascii="Arial" w:cs="Arial" w:eastAsia="Arial" w:hAnsi="Arial"/>
                <w:b/>
                <w:bCs/>
                <w:color w:val="0F6E56"/>
                <w:sz w:val="19"/>
                <w:szCs w:val="19"/>
              </w:rPr>
              <w:t xml:space="preserve">Target metrics</w:t>
            </w:r>
          </w:p>
          <w:p>
            <w:pPr>
              <w:spacing w:after="0" w:before="0"/>
              <w:jc w:val="both"/>
            </w:pPr>
            <w:r>
              <w:rPr>
                <w:rFonts w:ascii="Arial" w:cs="Arial" w:eastAsia="Arial" w:hAnsi="Arial"/>
                <w:color w:val="1E293B"/>
                <w:sz w:val="22"/>
                <w:szCs w:val="22"/>
              </w:rPr>
              <w:t xml:space="preserve">Agronomist correctness Likert &gt; 4.0/5.0 · Agronomist agreement &gt; 80% · MIRAGE score &gt; baseline by 15% · Ablation: 5-agent vs. single-agent · RAG vs. no-RAG</w:t>
            </w:r>
          </w:p>
        </w:tc>
      </w:tr>
    </w:tbl>
    <w:p>
      <w:pPr>
        <w:spacing w:after="160" w:before="0"/>
      </w:pPr>
      <w:r>
        <w:rPr>
          <w:rFonts w:ascii="Arial" w:cs="Arial" w:eastAsia="Arial" w:hAnsi="Arial"/>
          <w:color w:val="1E293B"/>
          <w:sz w:val="22"/>
          <w:szCs w:val="22"/>
        </w:rPr>
        <w:t xml:space="preserve"/>
      </w:r>
    </w:p>
    <w:p>
      <w:pPr>
        <w:pStyle w:val="Heading2"/>
        <w:spacing w:after="120" w:before="280"/>
      </w:pPr>
      <w:r>
        <w:rPr>
          <w:rFonts w:ascii="Arial" w:cs="Arial" w:eastAsia="Arial" w:hAnsi="Arial"/>
          <w:b/>
          <w:bCs/>
          <w:color w:val="534AB7"/>
          <w:sz w:val="26"/>
          <w:szCs w:val="26"/>
        </w:rPr>
        <w:t xml:space="preserve">4.3  Objectives Summary and Traceability Matrix</w:t>
      </w:r>
    </w:p>
    <w:p>
      <w:pPr>
        <w:spacing w:after="160" w:before="0"/>
        <w:jc w:val="both"/>
      </w:pPr>
      <w:r>
        <w:rPr>
          <w:rFonts w:ascii="Arial" w:cs="Arial" w:eastAsia="Arial" w:hAnsi="Arial"/>
          <w:color w:val="1E293B"/>
          <w:sz w:val="22"/>
          <w:szCs w:val="22"/>
        </w:rPr>
        <w:t xml:space="preserve">Table 4.1 provides the complete traceability matrix mapping each research objective to its parent research question (Chapter 1), the research gap it closes (Chapter 3), the primary technologies required, and the quantitative target metric for evaluation.</w:t>
      </w:r>
    </w:p>
    <w:p>
      <w:pPr>
        <w:spacing w:after="80" w:before="0"/>
      </w:pPr>
      <w:r>
        <w:rPr>
          <w:rFonts w:ascii="Arial" w:cs="Arial" w:eastAsia="Arial" w:hAnsi="Arial"/>
          <w:color w:val="1E293B"/>
          <w:sz w:val="22"/>
          <w:szCs w:val="22"/>
        </w:rPr>
        <w:t xml:space="preserve"/>
      </w:r>
    </w:p>
    <w:p>
      <w:pPr>
        <w:spacing w:after="80" w:before="0"/>
        <w:jc w:val="center"/>
      </w:pPr>
      <w:r>
        <w:rPr>
          <w:rFonts w:ascii="Arial" w:cs="Arial" w:eastAsia="Arial" w:hAnsi="Arial"/>
          <w:b/>
          <w:bCs/>
          <w:color w:val="0F2027"/>
          <w:sz w:val="22"/>
          <w:szCs w:val="22"/>
        </w:rPr>
        <w:t xml:space="preserve">Table 4.1: Research objectives — full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720"/>
        <w:gridCol w:w="720"/>
        <w:gridCol w:w="2700"/>
        <w:gridCol w:w="2340"/>
        <w:gridCol w:w="2340"/>
      </w:tblGrid>
      <w:tr>
        <w:trPr>
          <w:tblHeader/>
        </w:trPr>
        <w:tc>
          <w:tcPr>
            <w:tcW w:type="dxa" w:w="5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Obj.</w:t>
            </w:r>
          </w:p>
        </w:tc>
        <w:tc>
          <w:tcPr>
            <w:tcW w:type="dxa" w:w="72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RQ</w:t>
            </w:r>
          </w:p>
        </w:tc>
        <w:tc>
          <w:tcPr>
            <w:tcW w:type="dxa" w:w="72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Gap</w:t>
            </w:r>
          </w:p>
        </w:tc>
        <w:tc>
          <w:tcPr>
            <w:tcW w:type="dxa" w:w="270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Description</w:t>
            </w:r>
          </w:p>
        </w:tc>
        <w:tc>
          <w:tcPr>
            <w:tcW w:type="dxa" w:w="23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Technology</w:t>
            </w:r>
          </w:p>
        </w:tc>
        <w:tc>
          <w:tcPr>
            <w:tcW w:type="dxa" w:w="23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Target metric</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O1</w:t>
            </w:r>
          </w:p>
        </w:tc>
        <w:tc>
          <w:tcPr>
            <w:tcW w:type="dxa" w:w="72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RQ1</w:t>
            </w:r>
          </w:p>
        </w:tc>
        <w:tc>
          <w:tcPr>
            <w:tcW w:type="dxa" w:w="72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9"/>
                <w:szCs w:val="19"/>
              </w:rPr>
              <w:t xml:space="preserve">G1</w:t>
            </w:r>
          </w:p>
        </w:tc>
        <w:tc>
          <w:tcPr>
            <w:tcW w:type="dxa" w:w="27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Multi-agent orchestrator — intent routing to 5 specialist agents with Redis memory</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LangGraph v1.1 · BERT intent classifier · GPT-5.5</w:t>
            </w:r>
          </w:p>
        </w:tc>
        <w:tc>
          <w:tcPr>
            <w:tcW w:type="dxa" w:w="23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Intent accuracy &gt; 95% · Latency &lt; 4 s</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O2</w:t>
            </w:r>
          </w:p>
        </w:tc>
        <w:tc>
          <w:tcPr>
            <w:tcW w:type="dxa" w:w="7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RQ1</w:t>
            </w:r>
          </w:p>
        </w:tc>
        <w:tc>
          <w:tcPr>
            <w:tcW w:type="dxa" w:w="72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9"/>
                <w:szCs w:val="19"/>
              </w:rPr>
              <w:t xml:space="preserve">G1</w:t>
            </w:r>
          </w:p>
        </w:tc>
        <w:tc>
          <w:tcPr>
            <w:tcW w:type="dxa" w:w="2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Disease agent — ViT-L/16 + LoRA on 164k images with CoT reasoning and Grad-CAM</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ViT-L/16 · LoRA rank-16 · AgriChain CoT · PlantVillage+PlantDoc+IP102</w:t>
            </w:r>
          </w:p>
        </w:tc>
        <w:tc>
          <w:tcPr>
            <w:tcW w:type="dxa" w:w="23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Top-1 acc &gt; 90% · F1 &gt; 0.87 · Grad-CAM IoU &gt; 0.75</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O3</w:t>
            </w:r>
          </w:p>
        </w:tc>
        <w:tc>
          <w:tcPr>
            <w:tcW w:type="dxa" w:w="72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RQ2</w:t>
            </w:r>
          </w:p>
        </w:tc>
        <w:tc>
          <w:tcPr>
            <w:tcW w:type="dxa" w:w="72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9"/>
                <w:szCs w:val="19"/>
              </w:rPr>
              <w:t xml:space="preserve">G2</w:t>
            </w:r>
          </w:p>
        </w:tc>
        <w:tc>
          <w:tcPr>
            <w:tcW w:type="dxa" w:w="27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Nutrition agent — cross-modal fusion of ResNet-50 leaf features + soil NPK/pH/EC</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ResNet-50 + 6-dim sensor MLP · ICAR SHC norms · SHAP</w:t>
            </w:r>
          </w:p>
        </w:tc>
        <w:tc>
          <w:tcPr>
            <w:tcW w:type="dxa" w:w="23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Deficiency F1 &gt; 0.85 · Dose RMSE &lt; 5 kg/ha</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O4</w:t>
            </w:r>
          </w:p>
        </w:tc>
        <w:tc>
          <w:tcPr>
            <w:tcW w:type="dxa" w:w="7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RQ1</w:t>
            </w:r>
          </w:p>
        </w:tc>
        <w:tc>
          <w:tcPr>
            <w:tcW w:type="dxa" w:w="72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9"/>
                <w:szCs w:val="19"/>
              </w:rPr>
              <w:t xml:space="preserve">G1</w:t>
            </w:r>
          </w:p>
        </w:tc>
        <w:tc>
          <w:tcPr>
            <w:tcW w:type="dxa" w:w="2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RAG pipeline — 250k+ ICAR/FAO chunks, hybrid retrieval, LLM-as-judge gating</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Qdrant · E5-large-v2 · Cross-encoder · HyDE · Qwen3</w:t>
            </w:r>
          </w:p>
        </w:tc>
        <w:tc>
          <w:tcPr>
            <w:tcW w:type="dxa" w:w="23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Faithfulness &gt; 0.88 · Hallucination &lt; 5%</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O5</w:t>
            </w:r>
          </w:p>
        </w:tc>
        <w:tc>
          <w:tcPr>
            <w:tcW w:type="dxa" w:w="72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RQ3</w:t>
            </w:r>
          </w:p>
        </w:tc>
        <w:tc>
          <w:tcPr>
            <w:tcW w:type="dxa" w:w="72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9"/>
                <w:szCs w:val="19"/>
              </w:rPr>
              <w:t xml:space="preserve">G3</w:t>
            </w:r>
          </w:p>
        </w:tc>
        <w:tc>
          <w:tcPr>
            <w:tcW w:type="dxa" w:w="27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Farmer XAI — Grad-CAM overlay + SHAP charts rendered in React PWA advisory UI</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Grad-CAM · SHAP TreeExplainer · Recharts · i18next Hindi</w:t>
            </w:r>
          </w:p>
        </w:tc>
        <w:tc>
          <w:tcPr>
            <w:tcW w:type="dxa" w:w="23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IoU &gt; 0.75 · Farmer comprehension &gt; 3.5/5.0</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O6</w:t>
            </w:r>
          </w:p>
        </w:tc>
        <w:tc>
          <w:tcPr>
            <w:tcW w:type="dxa" w:w="7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RQ4</w:t>
            </w:r>
          </w:p>
        </w:tc>
        <w:tc>
          <w:tcPr>
            <w:tcW w:type="dxa" w:w="72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9"/>
                <w:szCs w:val="19"/>
              </w:rPr>
              <w:t xml:space="preserve">G4</w:t>
            </w:r>
          </w:p>
        </w:tc>
        <w:tc>
          <w:tcPr>
            <w:tcW w:type="dxa" w:w="2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Indic voice pipeline — Whisper ASR + bilingual RAG + Bhashini TTS end-to-end</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Whisper large-v3 Indic · Bhashini API · IndicBERT</w:t>
            </w:r>
          </w:p>
        </w:tc>
        <w:tc>
          <w:tcPr>
            <w:tcW w:type="dxa" w:w="23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WER &lt; 20% Hindi · &lt; 30% regional · &lt; 4 s E2E</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O7</w:t>
            </w:r>
          </w:p>
        </w:tc>
        <w:tc>
          <w:tcPr>
            <w:tcW w:type="dxa" w:w="72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RQ5</w:t>
            </w:r>
          </w:p>
        </w:tc>
        <w:tc>
          <w:tcPr>
            <w:tcW w:type="dxa" w:w="72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9"/>
                <w:szCs w:val="19"/>
              </w:rPr>
              <w:t xml:space="preserve">G5</w:t>
            </w:r>
          </w:p>
        </w:tc>
        <w:tc>
          <w:tcPr>
            <w:tcW w:type="dxa" w:w="27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Market agent — Agmarknet/eNAM live feed + Prophet forecast co-delivered with agronomy</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Agmarknet + eNAM API · Prophet · MSP DB · Redis TTL</w:t>
            </w:r>
          </w:p>
        </w:tc>
        <w:tc>
          <w:tcPr>
            <w:tcW w:type="dxa" w:w="23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Price MAPE &lt; 8% · Agronomist agreement &gt; 75%</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O8</w:t>
            </w:r>
          </w:p>
        </w:tc>
        <w:tc>
          <w:tcPr>
            <w:tcW w:type="dxa" w:w="7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All</w:t>
            </w:r>
          </w:p>
        </w:tc>
        <w:tc>
          <w:tcPr>
            <w:tcW w:type="dxa" w:w="72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9"/>
                <w:szCs w:val="19"/>
              </w:rPr>
              <w:t xml:space="preserve">All</w:t>
            </w:r>
          </w:p>
        </w:tc>
        <w:tc>
          <w:tcPr>
            <w:tcW w:type="dxa" w:w="27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System evaluation — MIRAGE, AgMMU, ICAR agronomist panel (n=10, 200 queries)</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334455"/>
                <w:sz w:val="19"/>
                <w:szCs w:val="19"/>
              </w:rPr>
              <w:t xml:space="preserve">RAGAS · MIRAGE · AgMMU · Langfuse · Ablation</w:t>
            </w:r>
          </w:p>
        </w:tc>
        <w:tc>
          <w:tcPr>
            <w:tcW w:type="dxa" w:w="234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Likert &gt; 4.0/5.0 · Agronomist agreement &gt; 80%</w:t>
            </w:r>
          </w:p>
        </w:tc>
      </w:tr>
    </w:tbl>
    <w:p>
      <w:pPr>
        <w:spacing w:after="200" w:before="60"/>
        <w:jc w:val="center"/>
      </w:pPr>
      <w:r>
        <w:rPr>
          <w:rFonts w:ascii="Arial" w:cs="Arial" w:eastAsia="Arial" w:hAnsi="Arial"/>
          <w:color w:val="64748B"/>
          <w:sz w:val="18"/>
          <w:szCs w:val="18"/>
        </w:rPr>
        <w:t xml:space="preserve">Table 4.1: Full traceability matrix — each objective traced to research question, gap closed, technology stack, and quantitative evaluation target.</w:t>
      </w:r>
    </w:p>
    <w:p>
      <w:pPr>
        <w:spacing w:after="160" w:before="0"/>
      </w:pPr>
      <w:r>
        <w:rPr>
          <w:rFonts w:ascii="Arial" w:cs="Arial" w:eastAsia="Arial" w:hAnsi="Arial"/>
          <w:color w:val="1E293B"/>
          <w:sz w:val="22"/>
          <w:szCs w:val="22"/>
        </w:rPr>
        <w:t xml:space="preserve"/>
      </w:r>
    </w:p>
    <w:p>
      <w:pPr>
        <w:pStyle w:val="Heading2"/>
        <w:spacing w:after="120" w:before="280"/>
      </w:pPr>
      <w:r>
        <w:rPr>
          <w:rFonts w:ascii="Arial" w:cs="Arial" w:eastAsia="Arial" w:hAnsi="Arial"/>
          <w:b/>
          <w:bCs/>
          <w:color w:val="534AB7"/>
          <w:sz w:val="26"/>
          <w:szCs w:val="26"/>
        </w:rPr>
        <w:t xml:space="preserve">4.4  Objective–Gap–Contribution Relationship</w:t>
      </w:r>
    </w:p>
    <w:p>
      <w:pPr>
        <w:spacing w:after="160" w:before="0"/>
        <w:jc w:val="both"/>
      </w:pPr>
      <w:r>
        <w:rPr>
          <w:rFonts w:ascii="Arial" w:cs="Arial" w:eastAsia="Arial" w:hAnsi="Arial"/>
          <w:color w:val="1E293B"/>
          <w:sz w:val="22"/>
          <w:szCs w:val="22"/>
        </w:rPr>
        <w:t xml:space="preserve">Table 4.2 summarises the direct relationship between each gap identified in Chapter 3, the objective that closes it, and the novel contribution it produces — confirming that every gap has exactly one closing objective and every objective produces a clearly stated novel contribution.</w:t>
      </w:r>
    </w:p>
    <w:p>
      <w:pPr>
        <w:spacing w:after="80" w:before="0"/>
      </w:pPr>
      <w:r>
        <w:rPr>
          <w:rFonts w:ascii="Arial" w:cs="Arial" w:eastAsia="Arial" w:hAnsi="Arial"/>
          <w:color w:val="1E293B"/>
          <w:sz w:val="22"/>
          <w:szCs w:val="22"/>
        </w:rPr>
        <w:t xml:space="preserve"/>
      </w:r>
    </w:p>
    <w:p>
      <w:pPr>
        <w:spacing w:after="80" w:before="0"/>
        <w:jc w:val="center"/>
      </w:pPr>
      <w:r>
        <w:rPr>
          <w:rFonts w:ascii="Arial" w:cs="Arial" w:eastAsia="Arial" w:hAnsi="Arial"/>
          <w:b/>
          <w:bCs/>
          <w:color w:val="0F2027"/>
          <w:sz w:val="22"/>
          <w:szCs w:val="22"/>
        </w:rPr>
        <w:t xml:space="preserve">Table 4.2: Gap-to-objective-to-contribution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520"/>
        <w:gridCol w:w="540"/>
        <w:gridCol w:w="5760"/>
      </w:tblGrid>
      <w:tr>
        <w:trPr>
          <w:tblHeader/>
        </w:trPr>
        <w:tc>
          <w:tcPr>
            <w:tcW w:type="dxa" w:w="54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Gap</w:t>
            </w:r>
          </w:p>
        </w:tc>
        <w:tc>
          <w:tcPr>
            <w:tcW w:type="dxa" w:w="252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Gap statement (brief)</w:t>
            </w:r>
          </w:p>
        </w:tc>
        <w:tc>
          <w:tcPr>
            <w:tcW w:type="dxa" w:w="54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Obj.</w:t>
            </w:r>
          </w:p>
        </w:tc>
        <w:tc>
          <w:tcPr>
            <w:tcW w:type="dxa" w:w="576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Novel contribution produced</w:t>
            </w:r>
          </w:p>
        </w:tc>
      </w:tr>
      <w:tr>
        <w:tc>
          <w:tcPr>
            <w:tcW w:type="dxa" w:w="5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9"/>
                <w:szCs w:val="19"/>
              </w:rPr>
              <w:t xml:space="preserve">G1</w:t>
            </w:r>
          </w:p>
        </w:tc>
        <w:tc>
          <w:tcPr>
            <w:tcW w:type="dxa" w:w="252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No unified multimodal advisory session across all five domains</w:t>
            </w:r>
          </w:p>
        </w:tc>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O1</w:t>
            </w:r>
          </w:p>
        </w:tc>
        <w:tc>
          <w:tcPr>
            <w:tcW w:type="dxa" w:w="576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First deployment-ready multi-agent system routing to five specialist models in one session — novel over Farmer.Chat, AgriDoctor, AgroAskAI (all single-model or single-domain)</w:t>
            </w:r>
          </w:p>
        </w:tc>
      </w:tr>
      <w:tr>
        <w:tc>
          <w:tcPr>
            <w:tcW w:type="dxa" w:w="5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9"/>
                <w:szCs w:val="19"/>
              </w:rPr>
              <w:t xml:space="preserve">G2</w:t>
            </w:r>
          </w:p>
        </w:tc>
        <w:tc>
          <w:tcPr>
            <w:tcW w:type="dxa" w:w="25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No cross-modal sensor+image nutrition fusion in a dialogue</w:t>
            </w:r>
          </w:p>
        </w:tc>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O3</w:t>
            </w:r>
          </w:p>
        </w:tc>
        <w:tc>
          <w:tcPr>
            <w:tcW w:type="dxa" w:w="576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First cross-modal fusion network combining leaf image features + soil sensor data for nutrition deficiency advisory inside a conversational loop — novel over all surveyed nutrition and VLM papers</w:t>
            </w:r>
          </w:p>
        </w:tc>
      </w:tr>
      <w:tr>
        <w:tc>
          <w:tcPr>
            <w:tcW w:type="dxa" w:w="5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9"/>
                <w:szCs w:val="19"/>
              </w:rPr>
              <w:t xml:space="preserve">G3</w:t>
            </w:r>
          </w:p>
        </w:tc>
        <w:tc>
          <w:tcPr>
            <w:tcW w:type="dxa" w:w="252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XAI never rendered to farmer in any deployed system</w:t>
            </w:r>
          </w:p>
        </w:tc>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O5</w:t>
            </w:r>
          </w:p>
        </w:tc>
        <w:tc>
          <w:tcPr>
            <w:tcW w:type="dxa" w:w="576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First system rendering Grad-CAM heatmaps and SHAP charts to farmers as a UI component of the advisory response — novel over XAI-CROP (Springer), LLMI-CDP, Agentic XAI (all researcher-facing only)</w:t>
            </w:r>
          </w:p>
        </w:tc>
      </w:tr>
      <w:tr>
        <w:tc>
          <w:tcPr>
            <w:tcW w:type="dxa" w:w="5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9"/>
                <w:szCs w:val="19"/>
              </w:rPr>
              <w:t xml:space="preserve">G4</w:t>
            </w:r>
          </w:p>
        </w:tc>
        <w:tc>
          <w:tcPr>
            <w:tcW w:type="dxa" w:w="25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No end-to-end Indic voice-to-advisory pipeline</w:t>
            </w:r>
          </w:p>
        </w:tc>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O6</w:t>
            </w:r>
          </w:p>
        </w:tc>
        <w:tc>
          <w:tcPr>
            <w:tcW w:type="dxa" w:w="576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First end-to-end pipeline: Whisper ASR → multilingual RAG → Bhashini TTS for agricultural advisory — novel over Farmer.Chat (partial ASR only) and all other systems (no voice)</w:t>
            </w:r>
          </w:p>
        </w:tc>
      </w:tr>
      <w:tr>
        <w:tc>
          <w:tcPr>
            <w:tcW w:type="dxa" w:w="54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9"/>
                <w:szCs w:val="19"/>
              </w:rPr>
              <w:t xml:space="preserve">G5</w:t>
            </w:r>
          </w:p>
        </w:tc>
        <w:tc>
          <w:tcPr>
            <w:tcW w:type="dxa" w:w="252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Market price never co-delivered with agronomic advice</w:t>
            </w:r>
          </w:p>
        </w:tc>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O7</w:t>
            </w:r>
          </w:p>
        </w:tc>
        <w:tc>
          <w:tcPr>
            <w:tcW w:type="dxa" w:w="576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left"/>
            </w:pPr>
            <w:r>
              <w:rPr>
                <w:rFonts w:ascii="Arial" w:cs="Arial" w:eastAsia="Arial" w:hAnsi="Arial"/>
                <w:b w:val="false"/>
                <w:bCs w:val="false"/>
                <w:color w:val="3B6D11"/>
                <w:sz w:val="19"/>
                <w:szCs w:val="19"/>
              </w:rPr>
              <w:t xml:space="preserve">First system delivering live mandi price forecast and sell/hold advisory within the same session as disease and nutrition advice — novel over all 25+ surveyed papers (none attempt this)</w:t>
            </w:r>
          </w:p>
        </w:tc>
      </w:tr>
    </w:tbl>
    <w:p>
      <w:pPr>
        <w:spacing w:after="200" w:before="60"/>
        <w:jc w:val="center"/>
      </w:pPr>
      <w:r>
        <w:rPr>
          <w:rFonts w:ascii="Arial" w:cs="Arial" w:eastAsia="Arial" w:hAnsi="Arial"/>
          <w:color w:val="64748B"/>
          <w:sz w:val="18"/>
          <w:szCs w:val="18"/>
        </w:rPr>
        <w:t xml:space="preserve">Table 4.2: Direct gap-to-objective-to-contribution traceability. Every identified gap is closed by exactly one objective; every objective produces a clearly novel contribution over the surveyed literature.</w:t>
      </w:r>
    </w:p>
    <w:p>
      <w:r>
        <w:br w:type="page"/>
      </w:r>
    </w:p>
    <w:p>
      <w:pPr>
        <w:pStyle w:val="Heading1"/>
        <w:pBdr>
          <w:bottom w:val="single" w:color="534AB7" w:sz="8" w:space="4"/>
        </w:pBdr>
        <w:spacing w:after="240" w:before="480"/>
      </w:pPr>
      <w:r>
        <w:rPr>
          <w:rFonts w:ascii="Arial" w:cs="Arial" w:eastAsia="Arial" w:hAnsi="Arial"/>
          <w:b/>
          <w:bCs/>
          <w:color w:val="0F2027"/>
          <w:sz w:val="36"/>
          <w:szCs w:val="36"/>
        </w:rPr>
        <w:t xml:space="preserve">References</w:t>
      </w:r>
    </w:p>
    <w:p>
      <w:pPr>
        <w:spacing w:after="160" w:before="0"/>
        <w:jc w:val="both"/>
      </w:pPr>
      <w:r>
        <w:rPr>
          <w:rFonts w:ascii="Arial" w:cs="Arial" w:eastAsia="Arial" w:hAnsi="Arial"/>
          <w:color w:val="64748B"/>
          <w:sz w:val="22"/>
          <w:szCs w:val="22"/>
        </w:rPr>
        <w:t xml:space="preserve">References cited in Chapter 4. Full details in consolidated thesis reference list.</w:t>
      </w:r>
    </w:p>
    <w:p>
      <w:pPr>
        <w:spacing w:after="80" w:before="0"/>
      </w:pPr>
      <w:r>
        <w:rPr>
          <w:rFonts w:ascii="Arial" w:cs="Arial" w:eastAsia="Arial" w:hAnsi="Arial"/>
          <w:color w:val="1E293B"/>
          <w:sz w:val="22"/>
          <w:szCs w:val="22"/>
        </w:rPr>
        <w:t xml:space="preserve"/>
      </w:r>
    </w:p>
    <w:p>
      <w:pPr>
        <w:spacing w:after="100" w:before="0"/>
        <w:ind w:left="540" w:hanging="540"/>
      </w:pPr>
      <w:r>
        <w:rPr>
          <w:rFonts w:ascii="Arial" w:cs="Arial" w:eastAsia="Arial" w:hAnsi="Arial"/>
          <w:b/>
          <w:bCs/>
          <w:color w:val="534AB7"/>
          <w:sz w:val="19"/>
          <w:szCs w:val="19"/>
        </w:rPr>
        <w:t xml:space="preserve">[1]  </w:t>
      </w:r>
      <w:r>
        <w:rPr>
          <w:rFonts w:ascii="Arial" w:cs="Arial" w:eastAsia="Arial" w:hAnsi="Arial"/>
          <w:color w:val="334455"/>
          <w:sz w:val="19"/>
          <w:szCs w:val="19"/>
        </w:rPr>
        <w:t xml:space="preserve">AgriDoctor: A Modular Multimodal Framework for Crop Disease Diagnosis. IEEE / arXiv:2509.17044, 2025.</w:t>
      </w:r>
    </w:p>
    <w:p>
      <w:pPr>
        <w:spacing w:after="100" w:before="0"/>
        <w:ind w:left="540" w:hanging="540"/>
      </w:pPr>
      <w:r>
        <w:rPr>
          <w:rFonts w:ascii="Arial" w:cs="Arial" w:eastAsia="Arial" w:hAnsi="Arial"/>
          <w:b/>
          <w:bCs/>
          <w:color w:val="534AB7"/>
          <w:sz w:val="19"/>
          <w:szCs w:val="19"/>
        </w:rPr>
        <w:t xml:space="preserve">[2]  </w:t>
      </w:r>
      <w:r>
        <w:rPr>
          <w:rFonts w:ascii="Arial" w:cs="Arial" w:eastAsia="Arial" w:hAnsi="Arial"/>
          <w:color w:val="334455"/>
          <w:sz w:val="19"/>
          <w:szCs w:val="19"/>
        </w:rPr>
        <w:t xml:space="preserve">AgriGPT: A Large Language Model Ecosystem for Agriculture with Tri-RAG. arXiv:2508.08632, 2025.</w:t>
      </w:r>
    </w:p>
    <w:p>
      <w:pPr>
        <w:spacing w:after="100" w:before="0"/>
        <w:ind w:left="540" w:hanging="540"/>
      </w:pPr>
      <w:r>
        <w:rPr>
          <w:rFonts w:ascii="Arial" w:cs="Arial" w:eastAsia="Arial" w:hAnsi="Arial"/>
          <w:b/>
          <w:bCs/>
          <w:color w:val="534AB7"/>
          <w:sz w:val="19"/>
          <w:szCs w:val="19"/>
        </w:rPr>
        <w:t xml:space="preserve">[3]  </w:t>
      </w:r>
      <w:r>
        <w:rPr>
          <w:rFonts w:ascii="Arial" w:cs="Arial" w:eastAsia="Arial" w:hAnsi="Arial"/>
          <w:color w:val="334455"/>
          <w:sz w:val="19"/>
          <w:szCs w:val="19"/>
        </w:rPr>
        <w:t xml:space="preserve">AgriM-LLM: An Agriculture-Specific Multimodal LLM for Crop Disease and Pest Management. Preprints.org, 2026.</w:t>
      </w:r>
    </w:p>
    <w:p>
      <w:pPr>
        <w:spacing w:after="100" w:before="0"/>
        <w:ind w:left="540" w:hanging="540"/>
      </w:pPr>
      <w:r>
        <w:rPr>
          <w:rFonts w:ascii="Arial" w:cs="Arial" w:eastAsia="Arial" w:hAnsi="Arial"/>
          <w:b/>
          <w:bCs/>
          <w:color w:val="534AB7"/>
          <w:sz w:val="19"/>
          <w:szCs w:val="19"/>
        </w:rPr>
        <w:t xml:space="preserve">[4]  </w:t>
      </w:r>
      <w:r>
        <w:rPr>
          <w:rFonts w:ascii="Arial" w:cs="Arial" w:eastAsia="Arial" w:hAnsi="Arial"/>
          <w:color w:val="334455"/>
          <w:sz w:val="19"/>
          <w:szCs w:val="19"/>
        </w:rPr>
        <w:t xml:space="preserve">Farmer.Chat: Scaling AI-Powered Agricultural Services for Smallholder Farmers. ACM, 2024. arXiv:2409.08916.</w:t>
      </w:r>
    </w:p>
    <w:p>
      <w:pPr>
        <w:spacing w:after="100" w:before="0"/>
        <w:ind w:left="540" w:hanging="540"/>
      </w:pPr>
      <w:r>
        <w:rPr>
          <w:rFonts w:ascii="Arial" w:cs="Arial" w:eastAsia="Arial" w:hAnsi="Arial"/>
          <w:b/>
          <w:bCs/>
          <w:color w:val="534AB7"/>
          <w:sz w:val="19"/>
          <w:szCs w:val="19"/>
        </w:rPr>
        <w:t xml:space="preserve">[5]  </w:t>
      </w:r>
      <w:r>
        <w:rPr>
          <w:rFonts w:ascii="Arial" w:cs="Arial" w:eastAsia="Arial" w:hAnsi="Arial"/>
          <w:color w:val="334455"/>
          <w:sz w:val="19"/>
          <w:szCs w:val="19"/>
        </w:rPr>
        <w:t xml:space="preserve">AgriChain: Visually-Grounded Expert-Verified Reasoning for Agricultural VLMs. arXiv, 2025.</w:t>
      </w:r>
    </w:p>
    <w:p>
      <w:pPr>
        <w:spacing w:after="100" w:before="0"/>
        <w:ind w:left="540" w:hanging="540"/>
      </w:pPr>
      <w:r>
        <w:rPr>
          <w:rFonts w:ascii="Arial" w:cs="Arial" w:eastAsia="Arial" w:hAnsi="Arial"/>
          <w:b/>
          <w:bCs/>
          <w:color w:val="534AB7"/>
          <w:sz w:val="19"/>
          <w:szCs w:val="19"/>
        </w:rPr>
        <w:t xml:space="preserve">[6]  </w:t>
      </w:r>
      <w:r>
        <w:rPr>
          <w:rFonts w:ascii="Arial" w:cs="Arial" w:eastAsia="Arial" w:hAnsi="Arial"/>
          <w:color w:val="334455"/>
          <w:sz w:val="19"/>
          <w:szCs w:val="19"/>
        </w:rPr>
        <w:t xml:space="preserve">LLMI-CDP: A Large Language Model for Multimodal Identification of Crop Diseases and Pests. Scientific Reports, 2025.</w:t>
      </w:r>
    </w:p>
    <w:p>
      <w:pPr>
        <w:spacing w:after="100" w:before="0"/>
        <w:ind w:left="540" w:hanging="540"/>
      </w:pPr>
      <w:r>
        <w:rPr>
          <w:rFonts w:ascii="Arial" w:cs="Arial" w:eastAsia="Arial" w:hAnsi="Arial"/>
          <w:b/>
          <w:bCs/>
          <w:color w:val="534AB7"/>
          <w:sz w:val="19"/>
          <w:szCs w:val="19"/>
        </w:rPr>
        <w:t xml:space="preserve">[7]  </w:t>
      </w:r>
      <w:r>
        <w:rPr>
          <w:rFonts w:ascii="Arial" w:cs="Arial" w:eastAsia="Arial" w:hAnsi="Arial"/>
          <w:color w:val="334455"/>
          <w:sz w:val="19"/>
          <w:szCs w:val="19"/>
        </w:rPr>
        <w:t xml:space="preserve">Enhancing Crop Recommendation with Explainable AI (XAI-CROP). Neural Computing and Applications, Springer, 2024.</w:t>
      </w:r>
    </w:p>
    <w:p>
      <w:pPr>
        <w:spacing w:after="100" w:before="0"/>
        <w:ind w:left="540" w:hanging="540"/>
      </w:pPr>
      <w:r>
        <w:rPr>
          <w:rFonts w:ascii="Arial" w:cs="Arial" w:eastAsia="Arial" w:hAnsi="Arial"/>
          <w:b/>
          <w:bCs/>
          <w:color w:val="534AB7"/>
          <w:sz w:val="19"/>
          <w:szCs w:val="19"/>
        </w:rPr>
        <w:t xml:space="preserve">[8]  </w:t>
      </w:r>
      <w:r>
        <w:rPr>
          <w:rFonts w:ascii="Arial" w:cs="Arial" w:eastAsia="Arial" w:hAnsi="Arial"/>
          <w:color w:val="334455"/>
          <w:sz w:val="19"/>
          <w:szCs w:val="19"/>
        </w:rPr>
        <w:t xml:space="preserve">Benchmarking ASR for Indian Languages in Agricultural Contexts. arXiv, 2025.</w:t>
      </w:r>
    </w:p>
    <w:p>
      <w:pPr>
        <w:spacing w:after="100" w:before="0"/>
        <w:ind w:left="540" w:hanging="540"/>
      </w:pPr>
      <w:r>
        <w:rPr>
          <w:rFonts w:ascii="Arial" w:cs="Arial" w:eastAsia="Arial" w:hAnsi="Arial"/>
          <w:b/>
          <w:bCs/>
          <w:color w:val="534AB7"/>
          <w:sz w:val="19"/>
          <w:szCs w:val="19"/>
        </w:rPr>
        <w:t xml:space="preserve">[9]  </w:t>
      </w:r>
      <w:r>
        <w:rPr>
          <w:rFonts w:ascii="Arial" w:cs="Arial" w:eastAsia="Arial" w:hAnsi="Arial"/>
          <w:color w:val="334455"/>
          <w:sz w:val="19"/>
          <w:szCs w:val="19"/>
        </w:rPr>
        <w:t xml:space="preserve">MeitY / Bhashini. Digital Language Inclusion Platform. Government of India, 2024.</w:t>
      </w:r>
    </w:p>
    <w:p>
      <w:pPr>
        <w:spacing w:after="100" w:before="0"/>
        <w:ind w:left="540" w:hanging="540"/>
      </w:pPr>
      <w:r>
        <w:rPr>
          <w:rFonts w:ascii="Arial" w:cs="Arial" w:eastAsia="Arial" w:hAnsi="Arial"/>
          <w:b/>
          <w:bCs/>
          <w:color w:val="534AB7"/>
          <w:sz w:val="19"/>
          <w:szCs w:val="19"/>
        </w:rPr>
        <w:t xml:space="preserve">[10]  </w:t>
      </w:r>
      <w:r>
        <w:rPr>
          <w:rFonts w:ascii="Arial" w:cs="Arial" w:eastAsia="Arial" w:hAnsi="Arial"/>
          <w:color w:val="334455"/>
          <w:sz w:val="19"/>
          <w:szCs w:val="19"/>
        </w:rPr>
        <w:t xml:space="preserve">RAG-Based LLM Advisory Framework for Farmers. Journal of Agricultural Engineering, 2026.</w:t>
      </w:r>
    </w:p>
    <w:p>
      <w:pPr>
        <w:spacing w:after="100" w:before="0"/>
        <w:ind w:left="540" w:hanging="540"/>
      </w:pPr>
      <w:r>
        <w:rPr>
          <w:rFonts w:ascii="Arial" w:cs="Arial" w:eastAsia="Arial" w:hAnsi="Arial"/>
          <w:b/>
          <w:bCs/>
          <w:color w:val="534AB7"/>
          <w:sz w:val="19"/>
          <w:szCs w:val="19"/>
        </w:rPr>
        <w:t xml:space="preserve">[11]  </w:t>
      </w:r>
      <w:r>
        <w:rPr>
          <w:rFonts w:ascii="Arial" w:cs="Arial" w:eastAsia="Arial" w:hAnsi="Arial"/>
          <w:color w:val="334455"/>
          <w:sz w:val="19"/>
          <w:szCs w:val="19"/>
        </w:rPr>
        <w:t xml:space="preserve">MIRAGE: Benchmark for Multimodal Information-Seeking in Agricultural Expert-Guided Conversations. arXiv, 2025.</w:t>
      </w:r>
    </w:p>
    <w:p>
      <w:pPr>
        <w:spacing w:after="100" w:before="0"/>
        <w:ind w:left="540" w:hanging="540"/>
      </w:pPr>
      <w:r>
        <w:rPr>
          <w:rFonts w:ascii="Arial" w:cs="Arial" w:eastAsia="Arial" w:hAnsi="Arial"/>
          <w:b/>
          <w:bCs/>
          <w:color w:val="534AB7"/>
          <w:sz w:val="19"/>
          <w:szCs w:val="19"/>
        </w:rPr>
        <w:t xml:space="preserve">[12]  </w:t>
      </w:r>
      <w:r>
        <w:rPr>
          <w:rFonts w:ascii="Arial" w:cs="Arial" w:eastAsia="Arial" w:hAnsi="Arial"/>
          <w:color w:val="334455"/>
          <w:sz w:val="19"/>
          <w:szCs w:val="19"/>
        </w:rPr>
        <w:t xml:space="preserve">AgMMU: Agricultural Multimodal Understanding and Reasoning Benchmark. arXiv, April 2025.</w:t>
      </w:r>
    </w:p>
    <w:p>
      <w:pPr>
        <w:spacing w:after="100" w:before="0"/>
        <w:ind w:left="540" w:hanging="540"/>
      </w:pPr>
      <w:r>
        <w:rPr>
          <w:rFonts w:ascii="Arial" w:cs="Arial" w:eastAsia="Arial" w:hAnsi="Arial"/>
          <w:b/>
          <w:bCs/>
          <w:color w:val="534AB7"/>
          <w:sz w:val="19"/>
          <w:szCs w:val="19"/>
        </w:rPr>
        <w:t xml:space="preserve">[13]  </w:t>
      </w:r>
      <w:r>
        <w:rPr>
          <w:rFonts w:ascii="Arial" w:cs="Arial" w:eastAsia="Arial" w:hAnsi="Arial"/>
          <w:color w:val="334455"/>
          <w:sz w:val="19"/>
          <w:szCs w:val="19"/>
        </w:rPr>
        <w:t xml:space="preserve">RAGAS: Automated Evaluation of Retrieval-Augmented Generation. arXiv:2309.15217, 2023.</w:t>
      </w:r>
    </w:p>
    <w:p>
      <w:pPr>
        <w:spacing w:after="100" w:before="0"/>
        <w:ind w:left="540" w:hanging="540"/>
      </w:pPr>
      <w:r>
        <w:rPr>
          <w:rFonts w:ascii="Arial" w:cs="Arial" w:eastAsia="Arial" w:hAnsi="Arial"/>
          <w:b/>
          <w:bCs/>
          <w:color w:val="534AB7"/>
          <w:sz w:val="19"/>
          <w:szCs w:val="19"/>
        </w:rPr>
        <w:t xml:space="preserve">[14]  </w:t>
      </w:r>
      <w:r>
        <w:rPr>
          <w:rFonts w:ascii="Arial" w:cs="Arial" w:eastAsia="Arial" w:hAnsi="Arial"/>
          <w:color w:val="334455"/>
          <w:sz w:val="19"/>
          <w:szCs w:val="19"/>
        </w:rPr>
        <w:t xml:space="preserve">Hu, E. et al. LoRA: Low-Rank Adaptation of Large Language Models. ICLR, 2022. arXiv:2106.09685.</w:t>
      </w:r>
    </w:p>
    <w:p>
      <w:pPr>
        <w:spacing w:after="100" w:before="0"/>
        <w:ind w:left="540" w:hanging="540"/>
      </w:pPr>
      <w:r>
        <w:rPr>
          <w:rFonts w:ascii="Arial" w:cs="Arial" w:eastAsia="Arial" w:hAnsi="Arial"/>
          <w:b/>
          <w:bCs/>
          <w:color w:val="534AB7"/>
          <w:sz w:val="19"/>
          <w:szCs w:val="19"/>
        </w:rPr>
        <w:t xml:space="preserve">[15]  </w:t>
      </w:r>
      <w:r>
        <w:rPr>
          <w:rFonts w:ascii="Arial" w:cs="Arial" w:eastAsia="Arial" w:hAnsi="Arial"/>
          <w:color w:val="334455"/>
          <w:sz w:val="19"/>
          <w:szCs w:val="19"/>
        </w:rPr>
        <w:t xml:space="preserve">Dosovitskiy, A. et al. An Image is Worth 16×16 Words: Transformers for Image Recognition at Scale. ICLR, 2021.</w:t>
      </w:r>
    </w:p>
    <w:p>
      <w:pPr>
        <w:spacing w:after="100" w:before="0"/>
        <w:ind w:left="540" w:hanging="540"/>
      </w:pPr>
      <w:r>
        <w:rPr>
          <w:rFonts w:ascii="Arial" w:cs="Arial" w:eastAsia="Arial" w:hAnsi="Arial"/>
          <w:b/>
          <w:bCs/>
          <w:color w:val="534AB7"/>
          <w:sz w:val="19"/>
          <w:szCs w:val="19"/>
        </w:rPr>
        <w:t xml:space="preserve">[16]  </w:t>
      </w:r>
      <w:r>
        <w:rPr>
          <w:rFonts w:ascii="Arial" w:cs="Arial" w:eastAsia="Arial" w:hAnsi="Arial"/>
          <w:color w:val="334455"/>
          <w:sz w:val="19"/>
          <w:szCs w:val="19"/>
        </w:rPr>
        <w:t xml:space="preserve">Selvaraju, R.R. et al. Grad-CAM: Visual Explanations from Deep Networks. ICCV, 2017.</w:t>
      </w:r>
    </w:p>
    <w:p>
      <w:pPr>
        <w:spacing w:after="100" w:before="0"/>
        <w:ind w:left="540" w:hanging="540"/>
      </w:pPr>
      <w:r>
        <w:rPr>
          <w:rFonts w:ascii="Arial" w:cs="Arial" w:eastAsia="Arial" w:hAnsi="Arial"/>
          <w:b/>
          <w:bCs/>
          <w:color w:val="534AB7"/>
          <w:sz w:val="19"/>
          <w:szCs w:val="19"/>
        </w:rPr>
        <w:t xml:space="preserve">[17]  </w:t>
      </w:r>
      <w:r>
        <w:rPr>
          <w:rFonts w:ascii="Arial" w:cs="Arial" w:eastAsia="Arial" w:hAnsi="Arial"/>
          <w:color w:val="334455"/>
          <w:sz w:val="19"/>
          <w:szCs w:val="19"/>
        </w:rPr>
        <w:t xml:space="preserve">Lundberg, S.M. and Lee, S.I. A Unified Approach to Interpreting Model Predictions (SHAP). NeurIPS, 2017.</w:t>
      </w:r>
    </w:p>
    <w:p>
      <w:pPr>
        <w:spacing w:after="100" w:before="0"/>
        <w:ind w:left="540" w:hanging="540"/>
      </w:pPr>
      <w:r>
        <w:rPr>
          <w:rFonts w:ascii="Arial" w:cs="Arial" w:eastAsia="Arial" w:hAnsi="Arial"/>
          <w:b/>
          <w:bCs/>
          <w:color w:val="534AB7"/>
          <w:sz w:val="19"/>
          <w:szCs w:val="19"/>
        </w:rPr>
        <w:t xml:space="preserve">[18]  </w:t>
      </w:r>
      <w:r>
        <w:rPr>
          <w:rFonts w:ascii="Arial" w:cs="Arial" w:eastAsia="Arial" w:hAnsi="Arial"/>
          <w:color w:val="334455"/>
          <w:sz w:val="19"/>
          <w:szCs w:val="19"/>
        </w:rPr>
        <w:t xml:space="preserve">Radford, A. et al. Robust Speech Recognition via Large-Scale Weak Supervision (Whisper). ICML, 2023.</w:t>
      </w:r>
    </w:p>
    <w:p>
      <w:pPr>
        <w:spacing w:after="100" w:before="0"/>
        <w:ind w:left="540" w:hanging="540"/>
      </w:pPr>
      <w:r>
        <w:rPr>
          <w:rFonts w:ascii="Arial" w:cs="Arial" w:eastAsia="Arial" w:hAnsi="Arial"/>
          <w:b/>
          <w:bCs/>
          <w:color w:val="534AB7"/>
          <w:sz w:val="19"/>
          <w:szCs w:val="19"/>
        </w:rPr>
        <w:t xml:space="preserve">[19]  </w:t>
      </w:r>
      <w:r>
        <w:rPr>
          <w:rFonts w:ascii="Arial" w:cs="Arial" w:eastAsia="Arial" w:hAnsi="Arial"/>
          <w:color w:val="334455"/>
          <w:sz w:val="19"/>
          <w:szCs w:val="19"/>
        </w:rPr>
        <w:t xml:space="preserve">LangChain. State of AI Agents Report 2025. LangChain Inc., 2025.</w:t>
      </w:r>
    </w:p>
    <w:p>
      <w:pPr>
        <w:spacing w:after="100" w:before="0"/>
        <w:ind w:left="540" w:hanging="540"/>
      </w:pPr>
      <w:r>
        <w:rPr>
          <w:rFonts w:ascii="Arial" w:cs="Arial" w:eastAsia="Arial" w:hAnsi="Arial"/>
          <w:b/>
          <w:bCs/>
          <w:color w:val="534AB7"/>
          <w:sz w:val="19"/>
          <w:szCs w:val="19"/>
        </w:rPr>
        <w:t xml:space="preserve">[20]  </w:t>
      </w:r>
      <w:r>
        <w:rPr>
          <w:rFonts w:ascii="Arial" w:cs="Arial" w:eastAsia="Arial" w:hAnsi="Arial"/>
          <w:color w:val="334455"/>
          <w:sz w:val="19"/>
          <w:szCs w:val="19"/>
        </w:rPr>
        <w:t xml:space="preserve">eNAM Annual Report 2022–23. National Agriculture Market, Ministry of Agriculture, Government of India, 2023.</w:t>
      </w:r>
    </w:p>
    <w:p>
      <w:pPr>
        <w:spacing w:after="100" w:before="0"/>
        <w:ind w:left="540" w:hanging="540"/>
      </w:pPr>
      <w:r>
        <w:rPr>
          <w:rFonts w:ascii="Arial" w:cs="Arial" w:eastAsia="Arial" w:hAnsi="Arial"/>
          <w:b/>
          <w:bCs/>
          <w:color w:val="534AB7"/>
          <w:sz w:val="19"/>
          <w:szCs w:val="19"/>
        </w:rPr>
        <w:t xml:space="preserve">[21]  </w:t>
      </w:r>
      <w:r>
        <w:rPr>
          <w:rFonts w:ascii="Arial" w:cs="Arial" w:eastAsia="Arial" w:hAnsi="Arial"/>
          <w:color w:val="334455"/>
          <w:sz w:val="19"/>
          <w:szCs w:val="19"/>
        </w:rPr>
        <w:t xml:space="preserve">ICAR Package of Practices for Major Indian Crops. Indian Council of Agricultural Research, 2023.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4AB7" w:sz="4" w:space="4"/>
      </w:pBdr>
      <w:spacing w:after="0" w:before="80"/>
    </w:pPr>
    <w:r>
      <w:rPr>
        <w:rFonts w:ascii="Arial" w:cs="Arial" w:eastAsia="Arial" w:hAnsi="Arial"/>
        <w:color w:val="64748B"/>
        <w:sz w:val="18"/>
        <w:szCs w:val="18"/>
      </w:rPr>
      <w:t xml:space="preserve">[Student Name]  |  [Department]  |  [Institution]  |  2024–25</w:t>
    </w:r>
    <w:r>
      <w:rPr>
        <w:rFonts w:ascii="Arial" w:cs="Arial" w:eastAsia="Arial" w:hAnsi="Arial"/>
        <w:color w:val="64748B"/>
        <w:sz w:val="18"/>
        <w:szCs w:val="18"/>
      </w:rPr>
      <w:t xml:space="preserve">     Page </w:t>
    </w:r>
    <w:r>
      <w:rPr>
        <w:rFonts w:ascii="Arial" w:cs="Arial" w:eastAsia="Arial" w:hAnsi="Arial"/>
        <w:color w:val="534AB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4"/>
      </w:pBdr>
      <w:spacing w:after="80" w:before="0"/>
    </w:pPr>
    <w:r>
      <w:rPr>
        <w:rFonts w:ascii="Arial" w:cs="Arial" w:eastAsia="Arial" w:hAnsi="Arial"/>
        <w:color w:val="64748B"/>
        <w:sz w:val="18"/>
        <w:szCs w:val="18"/>
      </w:rPr>
      <w:t xml:space="preserve">Chapter 4: Research Objectives</w:t>
    </w:r>
    <w:r>
      <w:rPr>
        <w:rFonts w:ascii="Arial" w:cs="Arial" w:eastAsia="Arial" w:hAnsi="Arial"/>
        <w:color w:val="534AB7"/>
        <w:sz w:val="18"/>
        <w:szCs w:val="18"/>
      </w:rPr>
      <w:t xml:space="preserve">  |  Towards a Next-Generation Agricultural Expert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F202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534AB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2026-05-31T14:16:00.524Z</dcterms:created>
  <dcterms:modified xsi:type="dcterms:W3CDTF">2026-05-31T14:16:00.525Z</dcterms:modified>
</cp:coreProperties>
</file>

<file path=docProps/custom.xml><?xml version="1.0" encoding="utf-8"?>
<Properties xmlns="http://schemas.openxmlformats.org/officeDocument/2006/custom-properties" xmlns:vt="http://schemas.openxmlformats.org/officeDocument/2006/docPropsVTypes"/>
</file>